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0E" w:rsidRPr="00E171D9" w:rsidRDefault="00ED7A0E" w:rsidP="00ED7A0E">
      <w:pPr>
        <w:rPr>
          <w:sz w:val="44"/>
          <w:szCs w:val="44"/>
        </w:rPr>
      </w:pPr>
      <w:r w:rsidRPr="004939EA">
        <w:rPr>
          <w:sz w:val="44"/>
          <w:szCs w:val="44"/>
        </w:rPr>
        <w:t xml:space="preserve">Foot rot </w:t>
      </w:r>
    </w:p>
    <w:tbl>
      <w:tblPr>
        <w:tblW w:w="5000" w:type="pct"/>
        <w:tblCellSpacing w:w="15" w:type="dxa"/>
        <w:tblCellMar>
          <w:top w:w="15" w:type="dxa"/>
          <w:left w:w="15" w:type="dxa"/>
          <w:bottom w:w="15" w:type="dxa"/>
          <w:right w:w="15" w:type="dxa"/>
        </w:tblCellMar>
        <w:tblLook w:val="04A0"/>
      </w:tblPr>
      <w:tblGrid>
        <w:gridCol w:w="8606"/>
      </w:tblGrid>
      <w:tr w:rsidR="00ED7A0E" w:rsidRPr="0046287B" w:rsidTr="00CF4CAC">
        <w:trPr>
          <w:tblCellSpacing w:w="15" w:type="dxa"/>
        </w:trPr>
        <w:tc>
          <w:tcPr>
            <w:tcW w:w="0" w:type="auto"/>
            <w:tcMar>
              <w:top w:w="15" w:type="dxa"/>
              <w:left w:w="225" w:type="dxa"/>
              <w:bottom w:w="15" w:type="dxa"/>
              <w:right w:w="15" w:type="dxa"/>
            </w:tcMar>
            <w:vAlign w:val="center"/>
            <w:hideMark/>
          </w:tcPr>
          <w:p w:rsidR="00ED7A0E" w:rsidRDefault="00ED7A0E" w:rsidP="00CF4CAC">
            <w:pPr>
              <w:spacing w:after="0" w:line="360" w:lineRule="atLeast"/>
              <w:jc w:val="both"/>
              <w:rPr>
                <w:rFonts w:asciiTheme="majorBidi" w:eastAsia="Times New Roman" w:hAnsiTheme="majorBidi" w:cstheme="majorBidi"/>
                <w:sz w:val="32"/>
                <w:szCs w:val="32"/>
              </w:rPr>
            </w:pPr>
            <w:r w:rsidRPr="00B173E3">
              <w:rPr>
                <w:rFonts w:asciiTheme="majorBidi" w:eastAsia="Times New Roman" w:hAnsiTheme="majorBidi" w:cstheme="majorBidi"/>
                <w:sz w:val="32"/>
                <w:szCs w:val="32"/>
              </w:rPr>
              <w:t xml:space="preserve">    Footrot is a sub acute or acute necrotic infection originating from a lesion in the interdigital skin that leads to a cellulitis in the digital region. Pain, severe lameness, fever, anorexia, loss of condition, and reduced milk production are major signs of the disease. Footrot has a worldwide distribution. The incidence varies according to weather, season of year, grazing periods, and housing system. </w:t>
            </w:r>
          </w:p>
          <w:p w:rsidR="00ED7A0E" w:rsidRPr="00B173E3" w:rsidRDefault="00ED7A0E" w:rsidP="00CF4CAC">
            <w:pPr>
              <w:spacing w:after="0" w:line="360" w:lineRule="atLeast"/>
              <w:jc w:val="both"/>
              <w:rPr>
                <w:rFonts w:asciiTheme="majorBidi" w:eastAsia="Times New Roman" w:hAnsiTheme="majorBidi" w:cstheme="majorBidi"/>
                <w:sz w:val="32"/>
                <w:szCs w:val="32"/>
              </w:rPr>
            </w:pPr>
          </w:p>
        </w:tc>
      </w:tr>
    </w:tbl>
    <w:p w:rsidR="00ED7A0E" w:rsidRPr="0046287B" w:rsidRDefault="00ED7A0E" w:rsidP="00ED7A0E">
      <w:pPr>
        <w:spacing w:after="0" w:line="240" w:lineRule="auto"/>
        <w:rPr>
          <w:rFonts w:asciiTheme="majorBidi" w:eastAsia="Times New Roman" w:hAnsiTheme="majorBidi" w:cstheme="majorBidi"/>
          <w:vanish/>
          <w:color w:val="000000"/>
          <w:sz w:val="28"/>
          <w:szCs w:val="28"/>
        </w:rPr>
      </w:pPr>
    </w:p>
    <w:tbl>
      <w:tblPr>
        <w:tblW w:w="5000" w:type="pct"/>
        <w:tblCellSpacing w:w="0" w:type="dxa"/>
        <w:tblCellMar>
          <w:left w:w="0" w:type="dxa"/>
          <w:right w:w="0" w:type="dxa"/>
        </w:tblCellMar>
        <w:tblLook w:val="04A0"/>
      </w:tblPr>
      <w:tblGrid>
        <w:gridCol w:w="8525"/>
        <w:gridCol w:w="6"/>
      </w:tblGrid>
      <w:tr w:rsidR="00ED7A0E" w:rsidRPr="0046287B" w:rsidTr="00CF4CAC">
        <w:trPr>
          <w:gridAfter w:val="1"/>
          <w:tblCellSpacing w:w="0" w:type="dxa"/>
        </w:trPr>
        <w:tc>
          <w:tcPr>
            <w:tcW w:w="0" w:type="auto"/>
            <w:tcMar>
              <w:top w:w="0" w:type="dxa"/>
              <w:left w:w="225" w:type="dxa"/>
              <w:bottom w:w="0" w:type="dxa"/>
              <w:right w:w="0" w:type="dxa"/>
            </w:tcMar>
            <w:vAlign w:val="center"/>
            <w:hideMark/>
          </w:tcPr>
          <w:p w:rsidR="00ED7A0E" w:rsidRPr="00C15309" w:rsidRDefault="00ED7A0E" w:rsidP="00CF4CAC">
            <w:pPr>
              <w:autoSpaceDE w:val="0"/>
              <w:autoSpaceDN w:val="0"/>
              <w:adjustRightInd w:val="0"/>
              <w:spacing w:after="0" w:line="240" w:lineRule="auto"/>
              <w:jc w:val="both"/>
              <w:rPr>
                <w:rFonts w:asciiTheme="majorBidi" w:hAnsiTheme="majorBidi" w:cstheme="majorBidi"/>
                <w:sz w:val="32"/>
                <w:szCs w:val="32"/>
              </w:rPr>
            </w:pPr>
            <w:bookmarkStart w:id="0" w:name="aEtiology_and_Pathogenesis:"/>
            <w:bookmarkEnd w:id="0"/>
            <w:r w:rsidRPr="00C15309">
              <w:rPr>
                <w:rFonts w:asciiTheme="majorBidi" w:hAnsiTheme="majorBidi" w:cstheme="majorBidi"/>
                <w:sz w:val="32"/>
                <w:szCs w:val="32"/>
              </w:rPr>
              <w:t>ETIOLOGY</w:t>
            </w:r>
          </w:p>
          <w:p w:rsidR="00ED7A0E" w:rsidRPr="00C15309" w:rsidRDefault="00ED7A0E" w:rsidP="00CF4CAC">
            <w:pPr>
              <w:autoSpaceDE w:val="0"/>
              <w:autoSpaceDN w:val="0"/>
              <w:adjustRightInd w:val="0"/>
              <w:spacing w:after="0" w:line="240" w:lineRule="auto"/>
              <w:ind w:left="142" w:right="129"/>
              <w:jc w:val="both"/>
              <w:rPr>
                <w:rFonts w:asciiTheme="majorBidi" w:hAnsiTheme="majorBidi" w:cstheme="majorBidi"/>
                <w:sz w:val="32"/>
                <w:szCs w:val="32"/>
              </w:rPr>
            </w:pPr>
            <w:r w:rsidRPr="00C15309">
              <w:rPr>
                <w:rFonts w:asciiTheme="majorBidi" w:hAnsiTheme="majorBidi" w:cstheme="majorBidi"/>
                <w:i/>
                <w:iCs/>
                <w:sz w:val="32"/>
                <w:szCs w:val="32"/>
              </w:rPr>
              <w:t>Dichelobacter (Bacteroides) nodosus</w:t>
            </w:r>
            <w:r w:rsidRPr="00C15309">
              <w:rPr>
                <w:rFonts w:asciiTheme="majorBidi" w:hAnsiTheme="majorBidi" w:cstheme="majorBidi"/>
                <w:sz w:val="32"/>
                <w:szCs w:val="32"/>
              </w:rPr>
              <w:t xml:space="preserve"> is the essential causal pathogen.</w:t>
            </w:r>
            <w:r w:rsidRPr="00B173E3">
              <w:rPr>
                <w:rFonts w:asciiTheme="majorBidi" w:eastAsia="Times New Roman" w:hAnsiTheme="majorBidi" w:cstheme="majorBidi"/>
                <w:i/>
                <w:iCs/>
                <w:sz w:val="32"/>
                <w:szCs w:val="32"/>
              </w:rPr>
              <w:t xml:space="preserve"> Fusobacteriumnecrophorum</w:t>
            </w:r>
            <w:r w:rsidRPr="00B173E3">
              <w:rPr>
                <w:rFonts w:asciiTheme="majorBidi" w:eastAsia="Times New Roman" w:hAnsiTheme="majorBidi" w:cstheme="majorBidi"/>
                <w:sz w:val="32"/>
                <w:szCs w:val="32"/>
              </w:rPr>
              <w:t> is considered to be the major cause of footrot. It can be isolated from feces, which may explain why control is difficult.</w:t>
            </w:r>
          </w:p>
          <w:p w:rsidR="00ED7A0E" w:rsidRPr="00C15309" w:rsidRDefault="00ED7A0E" w:rsidP="00CF4CAC">
            <w:pPr>
              <w:autoSpaceDE w:val="0"/>
              <w:autoSpaceDN w:val="0"/>
              <w:adjustRightInd w:val="0"/>
              <w:spacing w:after="0" w:line="240" w:lineRule="auto"/>
              <w:jc w:val="both"/>
              <w:rPr>
                <w:rFonts w:asciiTheme="majorBidi" w:hAnsiTheme="majorBidi" w:cstheme="majorBidi"/>
                <w:sz w:val="32"/>
                <w:szCs w:val="32"/>
              </w:rPr>
            </w:pPr>
            <w:r w:rsidRPr="00C15309">
              <w:rPr>
                <w:rFonts w:asciiTheme="majorBidi" w:eastAsia="Fd1007370-Identity-H" w:hAnsiTheme="majorBidi" w:cstheme="majorBidi"/>
                <w:i/>
                <w:iCs/>
                <w:sz w:val="32"/>
                <w:szCs w:val="32"/>
              </w:rPr>
              <w:t xml:space="preserve">F. </w:t>
            </w:r>
            <w:r w:rsidRPr="00C15309">
              <w:rPr>
                <w:rFonts w:asciiTheme="majorBidi" w:hAnsiTheme="majorBidi" w:cstheme="majorBidi"/>
                <w:i/>
                <w:iCs/>
                <w:sz w:val="32"/>
                <w:szCs w:val="32"/>
              </w:rPr>
              <w:t>necrophorum</w:t>
            </w:r>
            <w:r w:rsidRPr="00C15309">
              <w:rPr>
                <w:rFonts w:asciiTheme="majorBidi" w:hAnsiTheme="majorBidi" w:cstheme="majorBidi"/>
                <w:sz w:val="32"/>
                <w:szCs w:val="32"/>
              </w:rPr>
              <w:t xml:space="preserve"> aids </w:t>
            </w:r>
            <w:r w:rsidRPr="00C15309">
              <w:rPr>
                <w:rFonts w:asciiTheme="majorBidi" w:hAnsiTheme="majorBidi" w:cstheme="majorBidi"/>
                <w:i/>
                <w:iCs/>
                <w:sz w:val="32"/>
                <w:szCs w:val="32"/>
              </w:rPr>
              <w:t>D. nodosus</w:t>
            </w:r>
            <w:r w:rsidRPr="00C15309">
              <w:rPr>
                <w:rFonts w:asciiTheme="majorBidi" w:hAnsiTheme="majorBidi" w:cstheme="majorBidi"/>
                <w:sz w:val="32"/>
                <w:szCs w:val="32"/>
              </w:rPr>
              <w:t xml:space="preserve"> in the invasion of the foot and contributes in the inflammatory reaction.</w:t>
            </w:r>
          </w:p>
          <w:p w:rsidR="00ED7A0E" w:rsidRPr="0036600B" w:rsidRDefault="00ED7A0E" w:rsidP="00CF4CAC">
            <w:pPr>
              <w:autoSpaceDE w:val="0"/>
              <w:autoSpaceDN w:val="0"/>
              <w:adjustRightInd w:val="0"/>
              <w:spacing w:after="0" w:line="240" w:lineRule="auto"/>
              <w:jc w:val="both"/>
              <w:rPr>
                <w:rFonts w:asciiTheme="majorBidi" w:hAnsiTheme="majorBidi" w:cstheme="majorBidi"/>
                <w:sz w:val="32"/>
                <w:szCs w:val="32"/>
              </w:rPr>
            </w:pPr>
            <w:r w:rsidRPr="00B173E3">
              <w:rPr>
                <w:rFonts w:asciiTheme="majorBidi" w:eastAsia="Times New Roman" w:hAnsiTheme="majorBidi" w:cstheme="majorBidi"/>
                <w:sz w:val="32"/>
                <w:szCs w:val="32"/>
              </w:rPr>
              <w:t xml:space="preserve">Other organisms, such as </w:t>
            </w:r>
            <w:r w:rsidRPr="00B173E3">
              <w:rPr>
                <w:rFonts w:asciiTheme="majorBidi" w:eastAsia="Times New Roman" w:hAnsiTheme="majorBidi" w:cstheme="majorBidi"/>
                <w:i/>
                <w:iCs/>
                <w:sz w:val="32"/>
                <w:szCs w:val="32"/>
              </w:rPr>
              <w:t>Staphylococcus</w:t>
            </w:r>
            <w:r w:rsidRPr="00B173E3">
              <w:rPr>
                <w:rFonts w:asciiTheme="majorBidi" w:eastAsia="Times New Roman" w:hAnsiTheme="majorBidi" w:cstheme="majorBidi"/>
                <w:sz w:val="32"/>
                <w:szCs w:val="32"/>
              </w:rPr>
              <w:t> </w:t>
            </w:r>
            <w:r w:rsidRPr="00B173E3">
              <w:rPr>
                <w:rFonts w:asciiTheme="majorBidi" w:eastAsia="Times New Roman" w:hAnsiTheme="majorBidi" w:cstheme="majorBidi"/>
                <w:i/>
                <w:iCs/>
                <w:sz w:val="32"/>
                <w:szCs w:val="32"/>
              </w:rPr>
              <w:t>aureus</w:t>
            </w:r>
            <w:r w:rsidRPr="00B173E3">
              <w:rPr>
                <w:rFonts w:asciiTheme="majorBidi" w:eastAsia="Times New Roman" w:hAnsiTheme="majorBidi" w:cstheme="majorBidi"/>
                <w:sz w:val="32"/>
                <w:szCs w:val="32"/>
              </w:rPr>
              <w:t> , </w:t>
            </w:r>
            <w:r w:rsidRPr="00B173E3">
              <w:rPr>
                <w:rFonts w:asciiTheme="majorBidi" w:eastAsia="Times New Roman" w:hAnsiTheme="majorBidi" w:cstheme="majorBidi"/>
                <w:i/>
                <w:iCs/>
                <w:sz w:val="32"/>
                <w:szCs w:val="32"/>
              </w:rPr>
              <w:t>Escherichia</w:t>
            </w:r>
            <w:r w:rsidRPr="00B173E3">
              <w:rPr>
                <w:rFonts w:asciiTheme="majorBidi" w:eastAsia="Times New Roman" w:hAnsiTheme="majorBidi" w:cstheme="majorBidi"/>
                <w:sz w:val="32"/>
                <w:szCs w:val="32"/>
              </w:rPr>
              <w:t> </w:t>
            </w:r>
            <w:r w:rsidRPr="00B173E3">
              <w:rPr>
                <w:rFonts w:asciiTheme="majorBidi" w:eastAsia="Times New Roman" w:hAnsiTheme="majorBidi" w:cstheme="majorBidi"/>
                <w:i/>
                <w:iCs/>
                <w:sz w:val="32"/>
                <w:szCs w:val="32"/>
              </w:rPr>
              <w:t>coli</w:t>
            </w:r>
            <w:r w:rsidRPr="00B173E3">
              <w:rPr>
                <w:rFonts w:asciiTheme="majorBidi" w:eastAsia="Times New Roman" w:hAnsiTheme="majorBidi" w:cstheme="majorBidi"/>
                <w:sz w:val="32"/>
                <w:szCs w:val="32"/>
              </w:rPr>
              <w:t> , </w:t>
            </w:r>
            <w:r w:rsidRPr="00B173E3">
              <w:rPr>
                <w:rFonts w:asciiTheme="majorBidi" w:eastAsia="Times New Roman" w:hAnsiTheme="majorBidi" w:cstheme="majorBidi"/>
                <w:i/>
                <w:iCs/>
                <w:sz w:val="32"/>
                <w:szCs w:val="32"/>
              </w:rPr>
              <w:t>Arcanobacterium (Actinomyces)</w:t>
            </w:r>
            <w:r w:rsidRPr="00B173E3">
              <w:rPr>
                <w:rFonts w:asciiTheme="majorBidi" w:eastAsia="Times New Roman" w:hAnsiTheme="majorBidi" w:cstheme="majorBidi"/>
                <w:sz w:val="32"/>
                <w:szCs w:val="32"/>
              </w:rPr>
              <w:t> </w:t>
            </w:r>
            <w:r w:rsidRPr="00B173E3">
              <w:rPr>
                <w:rFonts w:asciiTheme="majorBidi" w:eastAsia="Times New Roman" w:hAnsiTheme="majorBidi" w:cstheme="majorBidi"/>
                <w:i/>
                <w:iCs/>
                <w:sz w:val="32"/>
                <w:szCs w:val="32"/>
              </w:rPr>
              <w:t>pyogenes</w:t>
            </w:r>
            <w:r w:rsidRPr="00B173E3">
              <w:rPr>
                <w:rFonts w:asciiTheme="majorBidi" w:eastAsia="Times New Roman" w:hAnsiTheme="majorBidi" w:cstheme="majorBidi"/>
                <w:sz w:val="32"/>
                <w:szCs w:val="32"/>
              </w:rPr>
              <w:t> ,</w:t>
            </w:r>
          </w:p>
        </w:tc>
      </w:tr>
      <w:tr w:rsidR="00ED7A0E" w:rsidRPr="0046287B" w:rsidTr="00CF4CAC">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525"/>
            </w:tblGrid>
            <w:tr w:rsidR="00ED7A0E" w:rsidRPr="0046287B" w:rsidTr="00CF4CAC">
              <w:trPr>
                <w:tblCellSpacing w:w="15" w:type="dxa"/>
              </w:trPr>
              <w:tc>
                <w:tcPr>
                  <w:tcW w:w="0" w:type="auto"/>
                  <w:tcMar>
                    <w:top w:w="15" w:type="dxa"/>
                    <w:left w:w="225" w:type="dxa"/>
                    <w:bottom w:w="15" w:type="dxa"/>
                    <w:right w:w="15" w:type="dxa"/>
                  </w:tcMar>
                  <w:vAlign w:val="center"/>
                  <w:hideMark/>
                </w:tcPr>
                <w:p w:rsidR="00ED7A0E" w:rsidRPr="00E171D9" w:rsidRDefault="00ED7A0E" w:rsidP="00CF4CAC">
                  <w:pPr>
                    <w:spacing w:after="0" w:line="360" w:lineRule="atLeast"/>
                    <w:jc w:val="both"/>
                    <w:rPr>
                      <w:rFonts w:asciiTheme="majorBidi" w:eastAsia="Times New Roman" w:hAnsiTheme="majorBidi" w:cstheme="majorBidi"/>
                      <w:sz w:val="32"/>
                      <w:szCs w:val="32"/>
                    </w:rPr>
                  </w:pPr>
                  <w:r w:rsidRPr="0036600B">
                    <w:rPr>
                      <w:rFonts w:asciiTheme="majorBidi" w:eastAsia="Times New Roman" w:hAnsiTheme="majorBidi" w:cstheme="majorBidi"/>
                      <w:sz w:val="32"/>
                      <w:szCs w:val="32"/>
                    </w:rPr>
                    <w:t xml:space="preserve">     </w:t>
                  </w:r>
                </w:p>
                <w:p w:rsidR="00ED7A0E" w:rsidRPr="0036600B" w:rsidRDefault="00ED7A0E" w:rsidP="00CF4CAC">
                  <w:pPr>
                    <w:autoSpaceDE w:val="0"/>
                    <w:autoSpaceDN w:val="0"/>
                    <w:adjustRightInd w:val="0"/>
                    <w:spacing w:after="0" w:line="240" w:lineRule="auto"/>
                    <w:jc w:val="both"/>
                    <w:rPr>
                      <w:rFonts w:asciiTheme="majorBidi" w:hAnsiTheme="majorBidi" w:cstheme="majorBidi"/>
                      <w:b/>
                      <w:bCs/>
                      <w:sz w:val="32"/>
                      <w:szCs w:val="32"/>
                    </w:rPr>
                  </w:pPr>
                  <w:r w:rsidRPr="0036600B">
                    <w:rPr>
                      <w:rFonts w:asciiTheme="majorBidi" w:hAnsiTheme="majorBidi" w:cstheme="majorBidi"/>
                      <w:b/>
                      <w:bCs/>
                      <w:sz w:val="32"/>
                      <w:szCs w:val="32"/>
                    </w:rPr>
                    <w:t>EPIDEMIOLOGY</w:t>
                  </w:r>
                </w:p>
                <w:p w:rsidR="00ED7A0E" w:rsidRPr="0036600B" w:rsidRDefault="00ED7A0E" w:rsidP="00CF4CAC">
                  <w:pPr>
                    <w:autoSpaceDE w:val="0"/>
                    <w:autoSpaceDN w:val="0"/>
                    <w:adjustRightInd w:val="0"/>
                    <w:spacing w:after="0" w:line="240" w:lineRule="auto"/>
                    <w:jc w:val="both"/>
                    <w:rPr>
                      <w:rFonts w:asciiTheme="majorBidi" w:hAnsiTheme="majorBidi" w:cstheme="majorBidi"/>
                      <w:sz w:val="32"/>
                      <w:szCs w:val="32"/>
                    </w:rPr>
                  </w:pPr>
                  <w:r w:rsidRPr="0036600B">
                    <w:rPr>
                      <w:rFonts w:asciiTheme="majorBidi" w:hAnsiTheme="majorBidi" w:cstheme="majorBidi"/>
                      <w:sz w:val="32"/>
                      <w:szCs w:val="32"/>
                    </w:rPr>
                    <w:t>1-Foot rot is common in all countries, and in all age</w:t>
                  </w:r>
                </w:p>
                <w:p w:rsidR="00ED7A0E" w:rsidRPr="0036600B" w:rsidRDefault="00ED7A0E" w:rsidP="00CF4CAC">
                  <w:pPr>
                    <w:autoSpaceDE w:val="0"/>
                    <w:autoSpaceDN w:val="0"/>
                    <w:adjustRightInd w:val="0"/>
                    <w:spacing w:after="0" w:line="240" w:lineRule="auto"/>
                    <w:jc w:val="both"/>
                    <w:rPr>
                      <w:rFonts w:asciiTheme="majorBidi" w:hAnsiTheme="majorBidi" w:cstheme="majorBidi"/>
                      <w:sz w:val="32"/>
                      <w:szCs w:val="32"/>
                    </w:rPr>
                  </w:pPr>
                  <w:r w:rsidRPr="0036600B">
                    <w:rPr>
                      <w:rFonts w:asciiTheme="majorBidi" w:hAnsiTheme="majorBidi" w:cstheme="majorBidi"/>
                      <w:sz w:val="32"/>
                      <w:szCs w:val="32"/>
                    </w:rPr>
                    <w:t xml:space="preserve">2- sheep, goat, cattle, dear are susceptible </w:t>
                  </w:r>
                </w:p>
                <w:p w:rsidR="00ED7A0E" w:rsidRPr="0036600B" w:rsidRDefault="00ED7A0E" w:rsidP="00CF4CAC">
                  <w:pPr>
                    <w:autoSpaceDE w:val="0"/>
                    <w:autoSpaceDN w:val="0"/>
                    <w:adjustRightInd w:val="0"/>
                    <w:spacing w:after="0" w:line="240" w:lineRule="auto"/>
                    <w:jc w:val="both"/>
                    <w:rPr>
                      <w:rFonts w:asciiTheme="majorBidi" w:hAnsiTheme="majorBidi" w:cstheme="majorBidi"/>
                      <w:sz w:val="32"/>
                      <w:szCs w:val="32"/>
                    </w:rPr>
                  </w:pPr>
                  <w:r w:rsidRPr="0036600B">
                    <w:rPr>
                      <w:rFonts w:asciiTheme="majorBidi" w:hAnsiTheme="majorBidi" w:cstheme="majorBidi"/>
                      <w:sz w:val="32"/>
                      <w:szCs w:val="32"/>
                    </w:rPr>
                    <w:t xml:space="preserve"> 3- The source of infection is discharge of </w:t>
                  </w:r>
                  <w:r>
                    <w:rPr>
                      <w:rFonts w:asciiTheme="majorBidi" w:hAnsiTheme="majorBidi" w:cstheme="majorBidi"/>
                      <w:sz w:val="32"/>
                      <w:szCs w:val="32"/>
                    </w:rPr>
                    <w:t>bacteria</w:t>
                  </w:r>
                  <w:r w:rsidRPr="0036600B">
                    <w:rPr>
                      <w:rFonts w:asciiTheme="majorBidi" w:hAnsiTheme="majorBidi" w:cstheme="majorBidi"/>
                      <w:sz w:val="32"/>
                      <w:szCs w:val="32"/>
                    </w:rPr>
                    <w:t xml:space="preserve"> from the active or chronic infection in the feet of affected animals.</w:t>
                  </w:r>
                </w:p>
                <w:p w:rsidR="00ED7A0E" w:rsidRPr="00E171D9" w:rsidRDefault="00ED7A0E" w:rsidP="00CF4CAC">
                  <w:pPr>
                    <w:autoSpaceDE w:val="0"/>
                    <w:autoSpaceDN w:val="0"/>
                    <w:adjustRightInd w:val="0"/>
                    <w:spacing w:after="0" w:line="240" w:lineRule="auto"/>
                    <w:jc w:val="both"/>
                    <w:rPr>
                      <w:rFonts w:asciiTheme="majorBidi" w:hAnsiTheme="majorBidi" w:cstheme="majorBidi"/>
                      <w:sz w:val="32"/>
                      <w:szCs w:val="32"/>
                    </w:rPr>
                  </w:pPr>
                  <w:r w:rsidRPr="0036600B">
                    <w:rPr>
                      <w:rFonts w:asciiTheme="majorBidi" w:hAnsiTheme="majorBidi" w:cstheme="majorBidi"/>
                      <w:sz w:val="32"/>
                      <w:szCs w:val="32"/>
                    </w:rPr>
                    <w:t>4-</w:t>
                  </w:r>
                  <w:r w:rsidRPr="00E171D9">
                    <w:rPr>
                      <w:rFonts w:asciiTheme="majorBidi" w:hAnsiTheme="majorBidi" w:cstheme="majorBidi"/>
                      <w:sz w:val="32"/>
                      <w:szCs w:val="32"/>
                    </w:rPr>
                    <w:t>Conditions of wetness and warmth favor persistence of the bacteria in pasture and increase susceptibility of the feet to injury and dermatitis, thus facilitating spread of the disease from carrier sheep</w:t>
                  </w:r>
                </w:p>
                <w:p w:rsidR="00A81138" w:rsidRPr="0036600B" w:rsidRDefault="00ED7A0E" w:rsidP="00A81138">
                  <w:pPr>
                    <w:autoSpaceDE w:val="0"/>
                    <w:autoSpaceDN w:val="0"/>
                    <w:adjustRightInd w:val="0"/>
                    <w:spacing w:after="0" w:line="240" w:lineRule="auto"/>
                    <w:jc w:val="both"/>
                    <w:rPr>
                      <w:rFonts w:asciiTheme="majorBidi" w:hAnsiTheme="majorBidi" w:cstheme="majorBidi"/>
                      <w:sz w:val="32"/>
                      <w:szCs w:val="32"/>
                    </w:rPr>
                  </w:pPr>
                  <w:r w:rsidRPr="0036600B">
                    <w:rPr>
                      <w:rFonts w:asciiTheme="majorBidi" w:hAnsiTheme="majorBidi" w:cstheme="majorBidi"/>
                      <w:sz w:val="32"/>
                      <w:szCs w:val="32"/>
                    </w:rPr>
                    <w:t>5-Foot rot is commonly associated with lush or improved pastures, irrigated pastures, and clover-dominant pastures. Long mature</w:t>
                  </w:r>
                  <w:r w:rsidR="00A81138" w:rsidRPr="0036600B">
                    <w:rPr>
                      <w:rFonts w:asciiTheme="majorBidi" w:hAnsiTheme="majorBidi" w:cstheme="majorBidi"/>
                      <w:sz w:val="32"/>
                      <w:szCs w:val="32"/>
                    </w:rPr>
                    <w:t xml:space="preserve"> grass may result in interdigital abrasions as it is dragged through the interdigital space and facilitates infection</w:t>
                  </w:r>
                  <w:r w:rsidR="00A81138">
                    <w:rPr>
                      <w:rFonts w:asciiTheme="majorBidi" w:hAnsiTheme="majorBidi" w:cstheme="majorBidi"/>
                      <w:sz w:val="32"/>
                      <w:szCs w:val="32"/>
                    </w:rPr>
                    <w:t>.</w:t>
                  </w:r>
                </w:p>
                <w:p w:rsidR="00ED7A0E" w:rsidRPr="0036600B" w:rsidRDefault="00ED7A0E" w:rsidP="00CF4CAC">
                  <w:pPr>
                    <w:autoSpaceDE w:val="0"/>
                    <w:autoSpaceDN w:val="0"/>
                    <w:adjustRightInd w:val="0"/>
                    <w:spacing w:after="0" w:line="240" w:lineRule="auto"/>
                    <w:jc w:val="both"/>
                    <w:rPr>
                      <w:rFonts w:asciiTheme="majorBidi" w:hAnsiTheme="majorBidi" w:cstheme="majorBidi"/>
                      <w:sz w:val="32"/>
                      <w:szCs w:val="32"/>
                    </w:rPr>
                  </w:pPr>
                </w:p>
                <w:p w:rsidR="00A81138" w:rsidRDefault="00A81138" w:rsidP="00CF4CAC">
                  <w:pPr>
                    <w:autoSpaceDE w:val="0"/>
                    <w:autoSpaceDN w:val="0"/>
                    <w:adjustRightInd w:val="0"/>
                    <w:spacing w:after="0" w:line="240" w:lineRule="auto"/>
                    <w:jc w:val="both"/>
                    <w:rPr>
                      <w:rFonts w:asciiTheme="majorBidi" w:hAnsiTheme="majorBidi" w:cstheme="majorBidi"/>
                      <w:sz w:val="32"/>
                      <w:szCs w:val="32"/>
                    </w:rPr>
                  </w:pPr>
                </w:p>
                <w:p w:rsidR="00A81138" w:rsidRDefault="00A81138" w:rsidP="00CF4CAC">
                  <w:pPr>
                    <w:autoSpaceDE w:val="0"/>
                    <w:autoSpaceDN w:val="0"/>
                    <w:adjustRightInd w:val="0"/>
                    <w:spacing w:after="0" w:line="240" w:lineRule="auto"/>
                    <w:jc w:val="both"/>
                    <w:rPr>
                      <w:rFonts w:asciiTheme="majorBidi" w:hAnsiTheme="majorBidi" w:cstheme="majorBidi"/>
                      <w:sz w:val="32"/>
                      <w:szCs w:val="32"/>
                    </w:rPr>
                  </w:pPr>
                </w:p>
                <w:p w:rsidR="00ED7A0E" w:rsidRPr="0036600B" w:rsidRDefault="00ED7A0E" w:rsidP="00CF4CAC">
                  <w:pPr>
                    <w:autoSpaceDE w:val="0"/>
                    <w:autoSpaceDN w:val="0"/>
                    <w:adjustRightInd w:val="0"/>
                    <w:spacing w:after="0" w:line="240" w:lineRule="auto"/>
                    <w:jc w:val="both"/>
                    <w:rPr>
                      <w:rFonts w:asciiTheme="majorBidi" w:hAnsiTheme="majorBidi" w:cstheme="majorBidi"/>
                      <w:sz w:val="32"/>
                      <w:szCs w:val="32"/>
                    </w:rPr>
                  </w:pPr>
                  <w:r w:rsidRPr="0036600B">
                    <w:rPr>
                      <w:rFonts w:asciiTheme="majorBidi" w:hAnsiTheme="majorBidi" w:cstheme="majorBidi"/>
                      <w:sz w:val="32"/>
                      <w:szCs w:val="32"/>
                    </w:rPr>
                    <w:lastRenderedPageBreak/>
                    <w:t>PATHOGENESIS</w:t>
                  </w:r>
                </w:p>
                <w:p w:rsidR="00ED7A0E" w:rsidRPr="0036600B" w:rsidRDefault="00ED7A0E" w:rsidP="00CF4CAC">
                  <w:pPr>
                    <w:autoSpaceDE w:val="0"/>
                    <w:autoSpaceDN w:val="0"/>
                    <w:adjustRightInd w:val="0"/>
                    <w:spacing w:after="0" w:line="240" w:lineRule="auto"/>
                    <w:jc w:val="both"/>
                    <w:rPr>
                      <w:rFonts w:asciiTheme="majorBidi" w:hAnsiTheme="majorBidi" w:cstheme="majorBidi"/>
                      <w:sz w:val="32"/>
                      <w:szCs w:val="32"/>
                    </w:rPr>
                  </w:pPr>
                  <w:r w:rsidRPr="0036600B">
                    <w:rPr>
                      <w:rFonts w:asciiTheme="majorBidi" w:eastAsia="Times New Roman" w:hAnsiTheme="majorBidi" w:cstheme="majorBidi"/>
                      <w:sz w:val="32"/>
                      <w:szCs w:val="32"/>
                    </w:rPr>
                    <w:t>Injury to the interdigital skin provides a portal of entry for infection. Maceration of the skin by water, feces, and urine may predispose to injuries</w:t>
                  </w:r>
                  <w:r>
                    <w:rPr>
                      <w:rFonts w:asciiTheme="majorBidi" w:eastAsia="Times New Roman" w:hAnsiTheme="majorBidi" w:cstheme="majorBidi"/>
                      <w:sz w:val="32"/>
                      <w:szCs w:val="32"/>
                    </w:rPr>
                    <w:t>,</w:t>
                  </w:r>
                  <w:r w:rsidRPr="0036600B">
                    <w:rPr>
                      <w:rFonts w:asciiTheme="majorBidi" w:eastAsia="Times New Roman" w:hAnsiTheme="majorBidi" w:cstheme="majorBidi"/>
                      <w:sz w:val="32"/>
                      <w:szCs w:val="32"/>
                    </w:rPr>
                    <w:t xml:space="preserve"> and </w:t>
                  </w:r>
                  <w:r w:rsidRPr="0036600B">
                    <w:rPr>
                      <w:rFonts w:asciiTheme="majorBidi" w:hAnsiTheme="majorBidi" w:cstheme="majorBidi"/>
                      <w:sz w:val="32"/>
                      <w:szCs w:val="32"/>
                    </w:rPr>
                    <w:t xml:space="preserve">allows infection with </w:t>
                  </w:r>
                  <w:r w:rsidRPr="0036600B">
                    <w:rPr>
                      <w:rFonts w:asciiTheme="majorBidi" w:eastAsia="Fd1007370-Identity-H" w:hAnsiTheme="majorBidi" w:cstheme="majorBidi"/>
                      <w:i/>
                      <w:iCs/>
                      <w:sz w:val="32"/>
                      <w:szCs w:val="32"/>
                    </w:rPr>
                    <w:t xml:space="preserve">F. </w:t>
                  </w:r>
                  <w:r w:rsidRPr="0036600B">
                    <w:rPr>
                      <w:rFonts w:asciiTheme="majorBidi" w:hAnsiTheme="majorBidi" w:cstheme="majorBidi"/>
                      <w:i/>
                      <w:iCs/>
                      <w:sz w:val="32"/>
                      <w:szCs w:val="32"/>
                    </w:rPr>
                    <w:t>necrophorum</w:t>
                  </w:r>
                  <w:r w:rsidRPr="0036600B">
                    <w:rPr>
                      <w:rFonts w:asciiTheme="majorBidi" w:hAnsiTheme="majorBidi" w:cstheme="majorBidi"/>
                      <w:sz w:val="32"/>
                      <w:szCs w:val="32"/>
                    </w:rPr>
                    <w:t xml:space="preserve">. This initial local dermatitis associated with infection with </w:t>
                  </w:r>
                  <w:r w:rsidRPr="002D023C">
                    <w:rPr>
                      <w:rFonts w:asciiTheme="majorBidi" w:eastAsia="Fd1007370-Identity-H" w:hAnsiTheme="majorBidi" w:cstheme="majorBidi"/>
                      <w:i/>
                      <w:iCs/>
                      <w:sz w:val="32"/>
                      <w:szCs w:val="32"/>
                    </w:rPr>
                    <w:t>F.</w:t>
                  </w:r>
                  <w:r w:rsidRPr="0036600B">
                    <w:rPr>
                      <w:rFonts w:asciiTheme="majorBidi" w:eastAsia="Fd1007370-Identity-H" w:hAnsiTheme="majorBidi" w:cstheme="majorBidi"/>
                      <w:sz w:val="32"/>
                      <w:szCs w:val="32"/>
                    </w:rPr>
                    <w:t xml:space="preserve"> </w:t>
                  </w:r>
                  <w:r w:rsidRPr="0036600B">
                    <w:rPr>
                      <w:rFonts w:asciiTheme="majorBidi" w:hAnsiTheme="majorBidi" w:cstheme="majorBidi"/>
                      <w:i/>
                      <w:iCs/>
                      <w:sz w:val="32"/>
                      <w:szCs w:val="32"/>
                    </w:rPr>
                    <w:t>necrophorum</w:t>
                  </w:r>
                  <w:r w:rsidRPr="0036600B">
                    <w:rPr>
                      <w:rFonts w:asciiTheme="majorBidi" w:hAnsiTheme="majorBidi" w:cstheme="majorBidi"/>
                      <w:sz w:val="32"/>
                      <w:szCs w:val="32"/>
                    </w:rPr>
                    <w:t xml:space="preserve"> at the skin and the skin-homjunction may progress</w:t>
                  </w:r>
                </w:p>
                <w:p w:rsidR="00ED7A0E" w:rsidRPr="0036600B" w:rsidRDefault="00ED7A0E" w:rsidP="00CF4CAC">
                  <w:pPr>
                    <w:autoSpaceDE w:val="0"/>
                    <w:autoSpaceDN w:val="0"/>
                    <w:adjustRightInd w:val="0"/>
                    <w:spacing w:after="0" w:line="240" w:lineRule="auto"/>
                    <w:jc w:val="both"/>
                    <w:rPr>
                      <w:rFonts w:asciiTheme="majorBidi" w:hAnsiTheme="majorBidi" w:cstheme="majorBidi"/>
                      <w:sz w:val="32"/>
                      <w:szCs w:val="32"/>
                    </w:rPr>
                  </w:pPr>
                  <w:r w:rsidRPr="0036600B">
                    <w:rPr>
                      <w:rFonts w:asciiTheme="majorBidi" w:hAnsiTheme="majorBidi" w:cstheme="majorBidi"/>
                      <w:sz w:val="32"/>
                      <w:szCs w:val="32"/>
                    </w:rPr>
                    <w:t>no further, but the hyperkeratosis induced by this infection facilitates infection by</w:t>
                  </w:r>
                  <w:r w:rsidRPr="0036600B">
                    <w:rPr>
                      <w:rFonts w:asciiTheme="majorBidi" w:eastAsia="Fd1007370-Identity-H" w:hAnsiTheme="majorBidi" w:cstheme="majorBidi"/>
                      <w:sz w:val="32"/>
                      <w:szCs w:val="32"/>
                    </w:rPr>
                    <w:t xml:space="preserve"> </w:t>
                  </w:r>
                  <w:r w:rsidRPr="0036600B">
                    <w:rPr>
                      <w:rFonts w:asciiTheme="majorBidi" w:eastAsia="Fd1007370-Identity-H" w:hAnsiTheme="majorBidi" w:cstheme="majorBidi"/>
                      <w:i/>
                      <w:iCs/>
                      <w:sz w:val="32"/>
                      <w:szCs w:val="32"/>
                    </w:rPr>
                    <w:t xml:space="preserve">D. </w:t>
                  </w:r>
                  <w:r w:rsidRPr="0036600B">
                    <w:rPr>
                      <w:rFonts w:asciiTheme="majorBidi" w:hAnsiTheme="majorBidi" w:cstheme="majorBidi"/>
                      <w:i/>
                      <w:iCs/>
                      <w:sz w:val="32"/>
                      <w:szCs w:val="32"/>
                    </w:rPr>
                    <w:t>nodosus</w:t>
                  </w:r>
                  <w:r w:rsidRPr="0036600B">
                    <w:rPr>
                      <w:rFonts w:asciiTheme="majorBidi" w:hAnsiTheme="majorBidi" w:cstheme="majorBidi"/>
                      <w:sz w:val="32"/>
                      <w:szCs w:val="32"/>
                    </w:rPr>
                    <w:t xml:space="preserve"> if it is present</w:t>
                  </w:r>
                  <w:r>
                    <w:rPr>
                      <w:rFonts w:asciiTheme="majorBidi" w:hAnsiTheme="majorBidi" w:cstheme="majorBidi"/>
                      <w:sz w:val="32"/>
                      <w:szCs w:val="32"/>
                    </w:rPr>
                    <w:t>.</w:t>
                  </w:r>
                </w:p>
                <w:p w:rsidR="00ED7A0E" w:rsidRPr="0036600B" w:rsidRDefault="00ED7A0E" w:rsidP="00CF4CAC">
                  <w:pPr>
                    <w:autoSpaceDE w:val="0"/>
                    <w:autoSpaceDN w:val="0"/>
                    <w:adjustRightInd w:val="0"/>
                    <w:spacing w:after="0" w:line="240" w:lineRule="auto"/>
                    <w:jc w:val="both"/>
                    <w:rPr>
                      <w:rFonts w:asciiTheme="majorBidi" w:eastAsia="Times New Roman" w:hAnsiTheme="majorBidi" w:cstheme="majorBidi"/>
                      <w:sz w:val="32"/>
                      <w:szCs w:val="32"/>
                    </w:rPr>
                  </w:pPr>
                </w:p>
              </w:tc>
            </w:tr>
          </w:tbl>
          <w:p w:rsidR="00ED7A0E" w:rsidRPr="0046287B" w:rsidRDefault="00ED7A0E" w:rsidP="00CF4CAC">
            <w:pPr>
              <w:spacing w:after="0" w:line="360" w:lineRule="atLeast"/>
              <w:jc w:val="both"/>
              <w:rPr>
                <w:rFonts w:asciiTheme="majorBidi" w:eastAsia="Times New Roman" w:hAnsiTheme="majorBidi" w:cstheme="majorBidi"/>
                <w:sz w:val="28"/>
                <w:szCs w:val="28"/>
              </w:rPr>
            </w:pPr>
          </w:p>
        </w:tc>
        <w:tc>
          <w:tcPr>
            <w:tcW w:w="0" w:type="auto"/>
            <w:vAlign w:val="bottom"/>
            <w:hideMark/>
          </w:tcPr>
          <w:p w:rsidR="00ED7A0E" w:rsidRPr="0046287B" w:rsidRDefault="00ED7A0E" w:rsidP="00CF4CAC">
            <w:pPr>
              <w:spacing w:after="0" w:line="360" w:lineRule="atLeast"/>
              <w:rPr>
                <w:rFonts w:asciiTheme="majorBidi" w:eastAsia="Times New Roman" w:hAnsiTheme="majorBidi" w:cstheme="majorBidi"/>
                <w:sz w:val="28"/>
                <w:szCs w:val="28"/>
              </w:rPr>
            </w:pPr>
          </w:p>
        </w:tc>
      </w:tr>
    </w:tbl>
    <w:p w:rsidR="00ED7A0E" w:rsidRPr="0046287B" w:rsidRDefault="00ED7A0E" w:rsidP="00ED7A0E">
      <w:pPr>
        <w:spacing w:after="0" w:line="240" w:lineRule="auto"/>
        <w:rPr>
          <w:rFonts w:asciiTheme="majorBidi" w:eastAsia="Times New Roman" w:hAnsiTheme="majorBidi" w:cstheme="majorBidi"/>
          <w:vanish/>
          <w:color w:val="000000"/>
          <w:sz w:val="28"/>
          <w:szCs w:val="28"/>
        </w:rPr>
      </w:pPr>
    </w:p>
    <w:tbl>
      <w:tblPr>
        <w:tblW w:w="0" w:type="auto"/>
        <w:tblCellSpacing w:w="0" w:type="dxa"/>
        <w:tblInd w:w="-201" w:type="dxa"/>
        <w:tblCellMar>
          <w:left w:w="0" w:type="dxa"/>
          <w:right w:w="0" w:type="dxa"/>
        </w:tblCellMar>
        <w:tblLook w:val="04A0"/>
      </w:tblPr>
      <w:tblGrid>
        <w:gridCol w:w="8726"/>
        <w:gridCol w:w="6"/>
      </w:tblGrid>
      <w:tr w:rsidR="00ED7A0E" w:rsidRPr="0046287B" w:rsidTr="00CF4CAC">
        <w:trPr>
          <w:gridAfter w:val="1"/>
          <w:tblCellSpacing w:w="0" w:type="dxa"/>
        </w:trPr>
        <w:tc>
          <w:tcPr>
            <w:tcW w:w="0" w:type="auto"/>
            <w:tcMar>
              <w:top w:w="0" w:type="dxa"/>
              <w:left w:w="225" w:type="dxa"/>
              <w:bottom w:w="0" w:type="dxa"/>
              <w:right w:w="0" w:type="dxa"/>
            </w:tcMar>
            <w:vAlign w:val="center"/>
            <w:hideMark/>
          </w:tcPr>
          <w:p w:rsidR="00ED7A0E" w:rsidRPr="00F23CEF" w:rsidRDefault="00ED7A0E" w:rsidP="00CF4CAC">
            <w:pPr>
              <w:autoSpaceDE w:val="0"/>
              <w:autoSpaceDN w:val="0"/>
              <w:adjustRightInd w:val="0"/>
              <w:spacing w:after="0" w:line="240" w:lineRule="auto"/>
              <w:rPr>
                <w:rFonts w:asciiTheme="majorBidi" w:hAnsiTheme="majorBidi" w:cstheme="majorBidi"/>
                <w:sz w:val="32"/>
                <w:szCs w:val="32"/>
              </w:rPr>
            </w:pPr>
            <w:bookmarkStart w:id="1" w:name="aClinical_Findings:"/>
            <w:bookmarkEnd w:id="1"/>
            <w:r w:rsidRPr="00F23CEF">
              <w:rPr>
                <w:rFonts w:asciiTheme="majorBidi" w:eastAsia="Times New Roman" w:hAnsiTheme="majorBidi" w:cstheme="majorBidi"/>
                <w:b/>
                <w:bCs/>
                <w:sz w:val="36"/>
                <w:szCs w:val="36"/>
              </w:rPr>
              <w:t>Clinical Findings</w:t>
            </w:r>
            <w:r w:rsidRPr="00F23CEF">
              <w:rPr>
                <w:rFonts w:asciiTheme="majorBidi" w:eastAsia="Times New Roman" w:hAnsiTheme="majorBidi" w:cstheme="majorBidi"/>
                <w:b/>
                <w:bCs/>
                <w:sz w:val="32"/>
                <w:szCs w:val="32"/>
              </w:rPr>
              <w:t>:</w:t>
            </w:r>
          </w:p>
          <w:p w:rsidR="00ED7A0E" w:rsidRPr="00F23CEF" w:rsidRDefault="00ED7A0E" w:rsidP="00CF4CAC">
            <w:pPr>
              <w:autoSpaceDE w:val="0"/>
              <w:autoSpaceDN w:val="0"/>
              <w:adjustRightInd w:val="0"/>
              <w:spacing w:after="0" w:line="240" w:lineRule="auto"/>
              <w:rPr>
                <w:rFonts w:asciiTheme="majorBidi" w:hAnsiTheme="majorBidi" w:cstheme="majorBidi"/>
                <w:sz w:val="32"/>
                <w:szCs w:val="32"/>
              </w:rPr>
            </w:pPr>
            <w:r w:rsidRPr="00F23CEF">
              <w:rPr>
                <w:rFonts w:asciiTheme="majorBidi" w:hAnsiTheme="majorBidi" w:cstheme="majorBidi"/>
                <w:sz w:val="32"/>
                <w:szCs w:val="32"/>
              </w:rPr>
              <w:t xml:space="preserve"> </w:t>
            </w:r>
            <w:r>
              <w:rPr>
                <w:rFonts w:asciiTheme="majorBidi" w:hAnsiTheme="majorBidi" w:cstheme="majorBidi"/>
                <w:sz w:val="32"/>
                <w:szCs w:val="32"/>
              </w:rPr>
              <w:t xml:space="preserve">1- </w:t>
            </w:r>
            <w:r w:rsidRPr="00F23CEF">
              <w:rPr>
                <w:rFonts w:asciiTheme="majorBidi" w:hAnsiTheme="majorBidi" w:cstheme="majorBidi"/>
                <w:sz w:val="32"/>
                <w:szCs w:val="32"/>
              </w:rPr>
              <w:t>In a flock, a sudden onset of lameness of several sheep is the usual presenting sign of foot rot</w:t>
            </w:r>
            <w:r>
              <w:rPr>
                <w:rFonts w:asciiTheme="majorBidi" w:hAnsiTheme="majorBidi" w:cstheme="majorBidi"/>
                <w:sz w:val="32"/>
                <w:szCs w:val="32"/>
              </w:rPr>
              <w:t>.</w:t>
            </w:r>
          </w:p>
        </w:tc>
      </w:tr>
      <w:tr w:rsidR="00ED7A0E" w:rsidRPr="00801001" w:rsidTr="00CF4CAC">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726"/>
            </w:tblGrid>
            <w:tr w:rsidR="00ED7A0E" w:rsidRPr="00801001" w:rsidTr="00CF4CAC">
              <w:trPr>
                <w:tblCellSpacing w:w="15" w:type="dxa"/>
              </w:trPr>
              <w:tc>
                <w:tcPr>
                  <w:tcW w:w="0" w:type="auto"/>
                  <w:tcMar>
                    <w:top w:w="15" w:type="dxa"/>
                    <w:left w:w="225" w:type="dxa"/>
                    <w:bottom w:w="15" w:type="dxa"/>
                    <w:right w:w="15" w:type="dxa"/>
                  </w:tcMar>
                  <w:vAlign w:val="center"/>
                  <w:hideMark/>
                </w:tcPr>
                <w:p w:rsidR="00ED7A0E" w:rsidRDefault="00ED7A0E" w:rsidP="00CF4CAC">
                  <w:pPr>
                    <w:spacing w:after="0" w:line="210" w:lineRule="atLeast"/>
                    <w:ind w:firstLine="29"/>
                    <w:jc w:val="both"/>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2- </w:t>
                  </w:r>
                  <w:r w:rsidRPr="00801001">
                    <w:rPr>
                      <w:rFonts w:asciiTheme="majorBidi" w:eastAsia="Times New Roman" w:hAnsiTheme="majorBidi" w:cstheme="majorBidi"/>
                      <w:sz w:val="32"/>
                      <w:szCs w:val="32"/>
                    </w:rPr>
                    <w:t>The fore- or, more commonly, the hindlimbs can be affected, but more than one foot is rarely involved at the same time in mature cows.</w:t>
                  </w:r>
                </w:p>
                <w:p w:rsidR="00ED7A0E" w:rsidRDefault="00ED7A0E" w:rsidP="00CF4CAC">
                  <w:pPr>
                    <w:spacing w:after="0" w:line="210" w:lineRule="atLeast"/>
                    <w:ind w:firstLine="29"/>
                    <w:jc w:val="both"/>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3- </w:t>
                  </w:r>
                  <w:r w:rsidRPr="00801001">
                    <w:rPr>
                      <w:rFonts w:asciiTheme="majorBidi" w:eastAsia="Times New Roman" w:hAnsiTheme="majorBidi" w:cstheme="majorBidi"/>
                      <w:sz w:val="32"/>
                      <w:szCs w:val="32"/>
                    </w:rPr>
                    <w:t xml:space="preserve"> However, footrot can occasionally develop in several </w:t>
                  </w:r>
                  <w:r w:rsidRPr="00C15309">
                    <w:rPr>
                      <w:rFonts w:asciiTheme="majorBidi" w:eastAsia="Times New Roman" w:hAnsiTheme="majorBidi" w:cstheme="majorBidi"/>
                      <w:sz w:val="32"/>
                      <w:szCs w:val="32"/>
                    </w:rPr>
                    <w:t>feet in</w:t>
                  </w:r>
                  <w:r w:rsidRPr="00801001">
                    <w:rPr>
                      <w:rFonts w:asciiTheme="majorBidi" w:eastAsia="Times New Roman" w:hAnsiTheme="majorBidi" w:cstheme="majorBidi"/>
                      <w:sz w:val="32"/>
                      <w:szCs w:val="32"/>
                    </w:rPr>
                    <w:t xml:space="preserve"> calves.</w:t>
                  </w:r>
                </w:p>
                <w:p w:rsidR="00ED7A0E" w:rsidRDefault="00ED7A0E" w:rsidP="00CF4CAC">
                  <w:pPr>
                    <w:spacing w:after="0" w:line="210" w:lineRule="atLeast"/>
                    <w:ind w:firstLine="29"/>
                    <w:jc w:val="both"/>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4- </w:t>
                  </w:r>
                  <w:r w:rsidRPr="00801001">
                    <w:rPr>
                      <w:rFonts w:asciiTheme="majorBidi" w:eastAsia="Times New Roman" w:hAnsiTheme="majorBidi" w:cstheme="majorBidi"/>
                      <w:sz w:val="32"/>
                      <w:szCs w:val="32"/>
                    </w:rPr>
                    <w:t xml:space="preserve"> The first sign is swelling and erythema of the soft tissues of the interdigital space and the adjacent coronary band.</w:t>
                  </w:r>
                </w:p>
                <w:p w:rsidR="00ED7A0E" w:rsidRDefault="00ED7A0E" w:rsidP="00CF4CAC">
                  <w:pPr>
                    <w:spacing w:after="0" w:line="210" w:lineRule="atLeast"/>
                    <w:ind w:firstLine="29"/>
                    <w:jc w:val="both"/>
                    <w:rPr>
                      <w:rFonts w:asciiTheme="majorBidi" w:eastAsia="Times New Roman" w:hAnsiTheme="majorBidi" w:cstheme="majorBidi"/>
                      <w:sz w:val="32"/>
                      <w:szCs w:val="32"/>
                    </w:rPr>
                  </w:pPr>
                  <w:r>
                    <w:rPr>
                      <w:rFonts w:asciiTheme="majorBidi" w:eastAsia="Times New Roman" w:hAnsiTheme="majorBidi" w:cstheme="majorBidi"/>
                      <w:sz w:val="32"/>
                      <w:szCs w:val="32"/>
                    </w:rPr>
                    <w:t>5-</w:t>
                  </w:r>
                  <w:r w:rsidRPr="00801001">
                    <w:rPr>
                      <w:rFonts w:asciiTheme="majorBidi" w:eastAsia="Times New Roman" w:hAnsiTheme="majorBidi" w:cstheme="majorBidi"/>
                      <w:sz w:val="32"/>
                      <w:szCs w:val="32"/>
                    </w:rPr>
                    <w:t xml:space="preserve"> The inflammation may extend to the pastern and fetlock.</w:t>
                  </w:r>
                </w:p>
                <w:p w:rsidR="00ED7A0E" w:rsidRDefault="00ED7A0E" w:rsidP="00CF4CAC">
                  <w:pPr>
                    <w:spacing w:after="0" w:line="210" w:lineRule="atLeast"/>
                    <w:jc w:val="both"/>
                    <w:rPr>
                      <w:rFonts w:asciiTheme="majorBidi" w:eastAsia="Times New Roman" w:hAnsiTheme="majorBidi" w:cstheme="majorBidi"/>
                      <w:sz w:val="32"/>
                      <w:szCs w:val="32"/>
                    </w:rPr>
                  </w:pPr>
                  <w:r w:rsidRPr="00801001">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6-</w:t>
                  </w:r>
                  <w:r w:rsidRPr="00801001">
                    <w:rPr>
                      <w:rFonts w:asciiTheme="majorBidi" w:eastAsia="Times New Roman" w:hAnsiTheme="majorBidi" w:cstheme="majorBidi"/>
                      <w:sz w:val="32"/>
                      <w:szCs w:val="32"/>
                    </w:rPr>
                    <w:t xml:space="preserve">Typically, the claws are markedly separated, and the inflammatory edema is uniformly distributed between the 2 digits. </w:t>
                  </w:r>
                  <w:r>
                    <w:rPr>
                      <w:rFonts w:asciiTheme="majorBidi" w:eastAsia="Times New Roman" w:hAnsiTheme="majorBidi" w:cstheme="majorBidi"/>
                      <w:sz w:val="32"/>
                      <w:szCs w:val="32"/>
                    </w:rPr>
                    <w:t>7-</w:t>
                  </w:r>
                  <w:r w:rsidRPr="00801001">
                    <w:rPr>
                      <w:rFonts w:asciiTheme="majorBidi" w:eastAsia="Times New Roman" w:hAnsiTheme="majorBidi" w:cstheme="majorBidi"/>
                      <w:sz w:val="32"/>
                      <w:szCs w:val="32"/>
                    </w:rPr>
                    <w:t>The onset of the disease is rapid, and the extreme pain leads to increasing lameness. In severe cases, the animal is reluctant to bear weight on the affected foot.</w:t>
                  </w:r>
                </w:p>
                <w:p w:rsidR="00ED7A0E" w:rsidRDefault="00ED7A0E" w:rsidP="00CF4CAC">
                  <w:pPr>
                    <w:spacing w:after="0" w:line="210" w:lineRule="atLeast"/>
                    <w:jc w:val="both"/>
                    <w:rPr>
                      <w:rFonts w:asciiTheme="majorBidi" w:eastAsia="Times New Roman" w:hAnsiTheme="majorBidi" w:cstheme="majorBidi"/>
                      <w:sz w:val="32"/>
                      <w:szCs w:val="32"/>
                    </w:rPr>
                  </w:pPr>
                  <w:r>
                    <w:rPr>
                      <w:rFonts w:asciiTheme="majorBidi" w:eastAsia="Times New Roman" w:hAnsiTheme="majorBidi" w:cstheme="majorBidi"/>
                      <w:sz w:val="32"/>
                      <w:szCs w:val="32"/>
                    </w:rPr>
                    <w:t>8-</w:t>
                  </w:r>
                  <w:r w:rsidRPr="00801001">
                    <w:rPr>
                      <w:rFonts w:asciiTheme="majorBidi" w:eastAsia="Times New Roman" w:hAnsiTheme="majorBidi" w:cstheme="majorBidi"/>
                      <w:sz w:val="32"/>
                      <w:szCs w:val="32"/>
                    </w:rPr>
                    <w:t xml:space="preserve"> Fever and anorexia are seen.</w:t>
                  </w:r>
                </w:p>
                <w:p w:rsidR="00ED7A0E" w:rsidRDefault="00ED7A0E" w:rsidP="00CF4CAC">
                  <w:pPr>
                    <w:spacing w:after="0" w:line="210" w:lineRule="atLeast"/>
                    <w:jc w:val="both"/>
                    <w:rPr>
                      <w:rFonts w:asciiTheme="majorBidi" w:eastAsia="Times New Roman" w:hAnsiTheme="majorBidi" w:cstheme="majorBidi"/>
                      <w:sz w:val="32"/>
                      <w:szCs w:val="32"/>
                    </w:rPr>
                  </w:pPr>
                  <w:r>
                    <w:rPr>
                      <w:rFonts w:asciiTheme="majorBidi" w:eastAsia="Times New Roman" w:hAnsiTheme="majorBidi" w:cstheme="majorBidi"/>
                      <w:sz w:val="32"/>
                      <w:szCs w:val="32"/>
                    </w:rPr>
                    <w:t>9-</w:t>
                  </w:r>
                  <w:r w:rsidRPr="00801001">
                    <w:rPr>
                      <w:rFonts w:asciiTheme="majorBidi" w:eastAsia="Times New Roman" w:hAnsiTheme="majorBidi" w:cstheme="majorBidi"/>
                      <w:sz w:val="32"/>
                      <w:szCs w:val="32"/>
                    </w:rPr>
                    <w:t xml:space="preserve"> The skin of the interdigital space first appears discolored; later, it fragments with exudates production. As necrosis of the skin progresses, sloughing of tissue is likely to follow.</w:t>
                  </w:r>
                </w:p>
                <w:p w:rsidR="00ED7A0E" w:rsidRPr="00801001" w:rsidRDefault="00ED7A0E" w:rsidP="00CF4CAC">
                  <w:pPr>
                    <w:spacing w:after="0" w:line="210" w:lineRule="atLeast"/>
                    <w:ind w:firstLine="29"/>
                    <w:jc w:val="both"/>
                    <w:rPr>
                      <w:rFonts w:asciiTheme="majorBidi" w:eastAsia="Times New Roman" w:hAnsiTheme="majorBidi" w:cstheme="majorBidi"/>
                      <w:i/>
                      <w:iCs/>
                      <w:sz w:val="32"/>
                      <w:szCs w:val="32"/>
                    </w:rPr>
                  </w:pPr>
                  <w:r>
                    <w:rPr>
                      <w:rFonts w:asciiTheme="majorBidi" w:eastAsia="Times New Roman" w:hAnsiTheme="majorBidi" w:cstheme="majorBidi"/>
                      <w:sz w:val="32"/>
                      <w:szCs w:val="32"/>
                    </w:rPr>
                    <w:t>10-</w:t>
                  </w:r>
                  <w:r w:rsidRPr="00801001">
                    <w:rPr>
                      <w:rFonts w:asciiTheme="majorBidi" w:eastAsia="Times New Roman" w:hAnsiTheme="majorBidi" w:cstheme="majorBidi"/>
                      <w:sz w:val="32"/>
                      <w:szCs w:val="32"/>
                    </w:rPr>
                    <w:t xml:space="preserve"> A characteristic foul odor is produced.</w:t>
                  </w:r>
                </w:p>
              </w:tc>
            </w:tr>
          </w:tbl>
          <w:p w:rsidR="00ED7A0E" w:rsidRPr="00801001" w:rsidRDefault="00ED7A0E" w:rsidP="00CF4CAC">
            <w:pPr>
              <w:spacing w:after="0" w:line="360" w:lineRule="atLeast"/>
              <w:jc w:val="both"/>
              <w:rPr>
                <w:rFonts w:asciiTheme="majorBidi" w:eastAsia="Times New Roman" w:hAnsiTheme="majorBidi" w:cstheme="majorBidi"/>
                <w:vanish/>
                <w:sz w:val="32"/>
                <w:szCs w:val="32"/>
              </w:rPr>
            </w:pPr>
          </w:p>
          <w:tbl>
            <w:tblPr>
              <w:tblW w:w="5000" w:type="pct"/>
              <w:tblCellSpacing w:w="15" w:type="dxa"/>
              <w:tblCellMar>
                <w:top w:w="15" w:type="dxa"/>
                <w:left w:w="15" w:type="dxa"/>
                <w:bottom w:w="15" w:type="dxa"/>
                <w:right w:w="15" w:type="dxa"/>
              </w:tblCellMar>
              <w:tblLook w:val="04A0"/>
            </w:tblPr>
            <w:tblGrid>
              <w:gridCol w:w="8726"/>
            </w:tblGrid>
            <w:tr w:rsidR="00ED7A0E" w:rsidRPr="00801001" w:rsidTr="00CF4CAC">
              <w:trPr>
                <w:tblCellSpacing w:w="15" w:type="dxa"/>
              </w:trPr>
              <w:tc>
                <w:tcPr>
                  <w:tcW w:w="0" w:type="auto"/>
                  <w:tcMar>
                    <w:top w:w="15" w:type="dxa"/>
                    <w:left w:w="225" w:type="dxa"/>
                    <w:bottom w:w="15" w:type="dxa"/>
                    <w:right w:w="15" w:type="dxa"/>
                  </w:tcMar>
                  <w:vAlign w:val="center"/>
                  <w:hideMark/>
                </w:tcPr>
                <w:p w:rsidR="00ED7A0E" w:rsidRDefault="00ED7A0E" w:rsidP="00CF4CAC">
                  <w:pPr>
                    <w:spacing w:after="0" w:line="360" w:lineRule="atLeast"/>
                    <w:jc w:val="both"/>
                    <w:rPr>
                      <w:rFonts w:asciiTheme="majorBidi" w:eastAsia="Times New Roman" w:hAnsiTheme="majorBidi" w:cstheme="majorBidi"/>
                      <w:sz w:val="32"/>
                      <w:szCs w:val="32"/>
                    </w:rPr>
                  </w:pPr>
                  <w:r>
                    <w:rPr>
                      <w:rFonts w:asciiTheme="majorBidi" w:eastAsia="Times New Roman" w:hAnsiTheme="majorBidi" w:cstheme="majorBidi"/>
                      <w:sz w:val="32"/>
                      <w:szCs w:val="32"/>
                    </w:rPr>
                    <w:t>11-</w:t>
                  </w:r>
                  <w:r w:rsidRPr="00801001">
                    <w:rPr>
                      <w:rFonts w:asciiTheme="majorBidi" w:eastAsia="Times New Roman" w:hAnsiTheme="majorBidi" w:cstheme="majorBidi"/>
                      <w:sz w:val="32"/>
                      <w:szCs w:val="32"/>
                    </w:rPr>
                    <w:t xml:space="preserve">If the disease proceeds unchecked, weight loss is severe and milk yield is significantly reduced. Milk production may not recover during the current lactation. </w:t>
                  </w:r>
                </w:p>
                <w:p w:rsidR="00ED7A0E" w:rsidRPr="00801001" w:rsidRDefault="00ED7A0E" w:rsidP="00CF4CAC">
                  <w:pPr>
                    <w:spacing w:after="0" w:line="360" w:lineRule="atLeast"/>
                    <w:jc w:val="both"/>
                    <w:rPr>
                      <w:rFonts w:asciiTheme="majorBidi" w:eastAsia="Times New Roman" w:hAnsiTheme="majorBidi" w:cstheme="majorBidi"/>
                      <w:sz w:val="32"/>
                      <w:szCs w:val="32"/>
                    </w:rPr>
                  </w:pPr>
                  <w:r>
                    <w:rPr>
                      <w:rFonts w:asciiTheme="majorBidi" w:eastAsia="Times New Roman" w:hAnsiTheme="majorBidi" w:cstheme="majorBidi"/>
                      <w:sz w:val="32"/>
                      <w:szCs w:val="32"/>
                    </w:rPr>
                    <w:t>12-</w:t>
                  </w:r>
                  <w:r w:rsidRPr="00801001">
                    <w:rPr>
                      <w:rFonts w:asciiTheme="majorBidi" w:eastAsia="Times New Roman" w:hAnsiTheme="majorBidi" w:cstheme="majorBidi"/>
                      <w:sz w:val="32"/>
                      <w:szCs w:val="32"/>
                    </w:rPr>
                    <w:t xml:space="preserve">Open lesions can be infected with secondary invaders. </w:t>
                  </w:r>
                </w:p>
              </w:tc>
            </w:tr>
          </w:tbl>
          <w:p w:rsidR="00ED7A0E" w:rsidRPr="00801001" w:rsidRDefault="00ED7A0E" w:rsidP="00CF4CAC">
            <w:pPr>
              <w:spacing w:after="0" w:line="360" w:lineRule="atLeast"/>
              <w:jc w:val="both"/>
              <w:rPr>
                <w:rFonts w:asciiTheme="majorBidi" w:eastAsia="Times New Roman" w:hAnsiTheme="majorBidi" w:cstheme="majorBidi"/>
                <w:vanish/>
                <w:sz w:val="32"/>
                <w:szCs w:val="32"/>
              </w:rPr>
            </w:pPr>
          </w:p>
          <w:tbl>
            <w:tblPr>
              <w:tblW w:w="5000" w:type="pct"/>
              <w:tblCellSpacing w:w="15" w:type="dxa"/>
              <w:tblCellMar>
                <w:top w:w="15" w:type="dxa"/>
                <w:left w:w="15" w:type="dxa"/>
                <w:bottom w:w="15" w:type="dxa"/>
                <w:right w:w="15" w:type="dxa"/>
              </w:tblCellMar>
              <w:tblLook w:val="04A0"/>
            </w:tblPr>
            <w:tblGrid>
              <w:gridCol w:w="8726"/>
            </w:tblGrid>
            <w:tr w:rsidR="00ED7A0E" w:rsidRPr="00801001" w:rsidTr="00CF4CAC">
              <w:trPr>
                <w:tblCellSpacing w:w="15" w:type="dxa"/>
              </w:trPr>
              <w:tc>
                <w:tcPr>
                  <w:tcW w:w="0" w:type="auto"/>
                  <w:tcMar>
                    <w:top w:w="15" w:type="dxa"/>
                    <w:left w:w="225" w:type="dxa"/>
                    <w:bottom w:w="15" w:type="dxa"/>
                    <w:right w:w="15" w:type="dxa"/>
                  </w:tcMar>
                  <w:vAlign w:val="center"/>
                  <w:hideMark/>
                </w:tcPr>
                <w:p w:rsidR="00ED7A0E" w:rsidRPr="00801001" w:rsidRDefault="00ED7A0E" w:rsidP="00CF4CAC">
                  <w:pPr>
                    <w:spacing w:after="0" w:line="360" w:lineRule="atLeast"/>
                    <w:jc w:val="both"/>
                    <w:rPr>
                      <w:rFonts w:asciiTheme="majorBidi" w:eastAsia="Times New Roman" w:hAnsiTheme="majorBidi" w:cstheme="majorBidi"/>
                      <w:sz w:val="32"/>
                      <w:szCs w:val="32"/>
                    </w:rPr>
                  </w:pPr>
                  <w:r w:rsidRPr="00801001">
                    <w:rPr>
                      <w:rFonts w:asciiTheme="majorBidi" w:eastAsia="Times New Roman" w:hAnsiTheme="majorBidi" w:cstheme="majorBidi"/>
                      <w:noProof/>
                      <w:color w:val="339999"/>
                      <w:sz w:val="32"/>
                      <w:szCs w:val="32"/>
                    </w:rPr>
                    <w:t xml:space="preserve"> </w:t>
                  </w:r>
                </w:p>
              </w:tc>
            </w:tr>
          </w:tbl>
          <w:p w:rsidR="00ED7A0E" w:rsidRPr="00801001" w:rsidRDefault="00ED7A0E" w:rsidP="00CF4CAC">
            <w:pPr>
              <w:spacing w:after="0" w:line="360" w:lineRule="atLeast"/>
              <w:jc w:val="both"/>
              <w:rPr>
                <w:rFonts w:asciiTheme="majorBidi" w:eastAsia="Times New Roman" w:hAnsiTheme="majorBidi" w:cstheme="majorBidi"/>
                <w:sz w:val="32"/>
                <w:szCs w:val="32"/>
              </w:rPr>
            </w:pPr>
          </w:p>
        </w:tc>
        <w:tc>
          <w:tcPr>
            <w:tcW w:w="0" w:type="auto"/>
            <w:vAlign w:val="bottom"/>
            <w:hideMark/>
          </w:tcPr>
          <w:p w:rsidR="00ED7A0E" w:rsidRPr="00801001" w:rsidRDefault="00ED7A0E" w:rsidP="00CF4CAC">
            <w:pPr>
              <w:spacing w:after="0" w:line="360" w:lineRule="atLeast"/>
              <w:jc w:val="both"/>
              <w:rPr>
                <w:rFonts w:asciiTheme="majorBidi" w:eastAsia="Times New Roman" w:hAnsiTheme="majorBidi" w:cstheme="majorBidi"/>
                <w:sz w:val="32"/>
                <w:szCs w:val="32"/>
              </w:rPr>
            </w:pPr>
          </w:p>
        </w:tc>
      </w:tr>
    </w:tbl>
    <w:p w:rsidR="00ED7A0E" w:rsidRPr="0046287B" w:rsidRDefault="00ED7A0E" w:rsidP="00ED7A0E">
      <w:pPr>
        <w:spacing w:after="0" w:line="240" w:lineRule="auto"/>
        <w:rPr>
          <w:rFonts w:asciiTheme="majorBidi" w:eastAsia="Times New Roman" w:hAnsiTheme="majorBidi" w:cstheme="majorBidi"/>
          <w:vanish/>
          <w:color w:val="000000"/>
          <w:sz w:val="28"/>
          <w:szCs w:val="28"/>
        </w:rPr>
      </w:pPr>
    </w:p>
    <w:tbl>
      <w:tblPr>
        <w:tblW w:w="5000" w:type="pct"/>
        <w:tblCellSpacing w:w="0" w:type="dxa"/>
        <w:tblCellMar>
          <w:left w:w="0" w:type="dxa"/>
          <w:right w:w="0" w:type="dxa"/>
        </w:tblCellMar>
        <w:tblLook w:val="04A0"/>
      </w:tblPr>
      <w:tblGrid>
        <w:gridCol w:w="8526"/>
        <w:gridCol w:w="5"/>
      </w:tblGrid>
      <w:tr w:rsidR="00ED7A0E" w:rsidRPr="0046287B" w:rsidTr="00CF4CAC">
        <w:trPr>
          <w:gridAfter w:val="1"/>
          <w:tblCellSpacing w:w="0" w:type="dxa"/>
        </w:trPr>
        <w:tc>
          <w:tcPr>
            <w:tcW w:w="0" w:type="auto"/>
            <w:tcMar>
              <w:top w:w="0" w:type="dxa"/>
              <w:left w:w="225" w:type="dxa"/>
              <w:bottom w:w="0" w:type="dxa"/>
              <w:right w:w="0" w:type="dxa"/>
            </w:tcMar>
            <w:vAlign w:val="center"/>
            <w:hideMark/>
          </w:tcPr>
          <w:p w:rsidR="00ED7A0E" w:rsidRPr="00801001" w:rsidRDefault="00ED7A0E" w:rsidP="00CF4CAC">
            <w:pPr>
              <w:spacing w:after="0" w:line="360" w:lineRule="atLeast"/>
              <w:jc w:val="both"/>
              <w:rPr>
                <w:rFonts w:asciiTheme="majorBidi" w:eastAsia="Times New Roman" w:hAnsiTheme="majorBidi" w:cstheme="majorBidi"/>
                <w:b/>
                <w:bCs/>
                <w:color w:val="336666"/>
                <w:sz w:val="32"/>
                <w:szCs w:val="32"/>
              </w:rPr>
            </w:pPr>
            <w:bookmarkStart w:id="2" w:name="aDiagnosis:"/>
            <w:bookmarkEnd w:id="2"/>
            <w:r w:rsidRPr="00801001">
              <w:rPr>
                <w:rFonts w:asciiTheme="majorBidi" w:eastAsia="Times New Roman" w:hAnsiTheme="majorBidi" w:cstheme="majorBidi"/>
                <w:b/>
                <w:bCs/>
                <w:color w:val="336666"/>
                <w:sz w:val="32"/>
                <w:szCs w:val="32"/>
              </w:rPr>
              <w:lastRenderedPageBreak/>
              <w:t>Diagnosis:</w:t>
            </w:r>
          </w:p>
          <w:p w:rsidR="00ED7A0E" w:rsidRDefault="00ED7A0E" w:rsidP="00CF4CAC">
            <w:pPr>
              <w:autoSpaceDE w:val="0"/>
              <w:autoSpaceDN w:val="0"/>
              <w:adjustRightInd w:val="0"/>
              <w:spacing w:after="0" w:line="240" w:lineRule="auto"/>
              <w:jc w:val="both"/>
              <w:rPr>
                <w:rFonts w:asciiTheme="majorBidi" w:hAnsiTheme="majorBidi" w:cstheme="majorBidi"/>
                <w:color w:val="000000"/>
                <w:sz w:val="32"/>
                <w:szCs w:val="32"/>
              </w:rPr>
            </w:pPr>
            <w:r w:rsidRPr="00801001">
              <w:rPr>
                <w:rFonts w:asciiTheme="majorBidi" w:hAnsiTheme="majorBidi" w:cstheme="majorBidi"/>
                <w:color w:val="000000"/>
                <w:sz w:val="32"/>
                <w:szCs w:val="32"/>
              </w:rPr>
              <w:t xml:space="preserve">   Bacteriological examination is not usually necessary for diagnosis but direct smears of the lesion will usually reveal larg numbers of a mixture of </w:t>
            </w:r>
            <w:r w:rsidRPr="006B18A1">
              <w:rPr>
                <w:rFonts w:asciiTheme="majorBidi" w:hAnsiTheme="majorBidi" w:cstheme="majorBidi"/>
                <w:i/>
                <w:iCs/>
                <w:color w:val="000000"/>
                <w:sz w:val="32"/>
                <w:szCs w:val="32"/>
              </w:rPr>
              <w:t>Fusobacterium</w:t>
            </w:r>
            <w:r w:rsidRPr="00801001">
              <w:rPr>
                <w:rFonts w:asciiTheme="majorBidi" w:hAnsiTheme="majorBidi" w:cstheme="majorBidi"/>
                <w:color w:val="000000"/>
                <w:sz w:val="32"/>
                <w:szCs w:val="32"/>
              </w:rPr>
              <w:t xml:space="preserve"> and </w:t>
            </w:r>
            <w:r w:rsidRPr="006B18A1">
              <w:rPr>
                <w:rFonts w:asciiTheme="majorBidi" w:eastAsia="Fd1007370-Identity-H" w:hAnsiTheme="majorBidi" w:cstheme="majorBidi"/>
                <w:i/>
                <w:iCs/>
                <w:color w:val="000000"/>
                <w:sz w:val="32"/>
                <w:szCs w:val="32"/>
              </w:rPr>
              <w:t xml:space="preserve">Bacteroides </w:t>
            </w:r>
            <w:r w:rsidRPr="006B18A1">
              <w:rPr>
                <w:rFonts w:asciiTheme="majorBidi" w:hAnsiTheme="majorBidi" w:cstheme="majorBidi"/>
                <w:i/>
                <w:iCs/>
                <w:color w:val="000000"/>
                <w:sz w:val="32"/>
                <w:szCs w:val="32"/>
              </w:rPr>
              <w:t>spp</w:t>
            </w:r>
            <w:r w:rsidRPr="00801001">
              <w:rPr>
                <w:rFonts w:asciiTheme="majorBidi" w:hAnsiTheme="majorBidi" w:cstheme="majorBidi"/>
                <w:color w:val="000000"/>
                <w:sz w:val="32"/>
                <w:szCs w:val="32"/>
              </w:rPr>
              <w:t>. The characteristic site, nature, and smell of the lesion, the pattern of the disease in the group and the season and climate are usually sufficient to indicate the presence of true foot rot.</w:t>
            </w:r>
          </w:p>
          <w:p w:rsidR="00ED7A0E" w:rsidRDefault="00ED7A0E" w:rsidP="00CF4CAC">
            <w:pPr>
              <w:autoSpaceDE w:val="0"/>
              <w:autoSpaceDN w:val="0"/>
              <w:adjustRightInd w:val="0"/>
              <w:spacing w:after="0" w:line="240" w:lineRule="auto"/>
              <w:jc w:val="both"/>
              <w:rPr>
                <w:rFonts w:asciiTheme="majorBidi" w:hAnsiTheme="majorBidi" w:cstheme="majorBidi"/>
                <w:color w:val="000000"/>
                <w:sz w:val="32"/>
                <w:szCs w:val="32"/>
              </w:rPr>
            </w:pPr>
          </w:p>
          <w:p w:rsidR="00ED7A0E" w:rsidRDefault="00ED7A0E" w:rsidP="00CF4CAC">
            <w:pPr>
              <w:autoSpaceDE w:val="0"/>
              <w:autoSpaceDN w:val="0"/>
              <w:adjustRightInd w:val="0"/>
              <w:spacing w:after="0" w:line="240" w:lineRule="auto"/>
              <w:jc w:val="both"/>
              <w:rPr>
                <w:rFonts w:asciiTheme="majorBidi" w:hAnsiTheme="majorBidi" w:cstheme="majorBidi"/>
                <w:b/>
                <w:bCs/>
                <w:color w:val="000000"/>
                <w:sz w:val="32"/>
                <w:szCs w:val="32"/>
              </w:rPr>
            </w:pPr>
            <w:r w:rsidRPr="00E171D9">
              <w:rPr>
                <w:rFonts w:asciiTheme="majorBidi" w:hAnsiTheme="majorBidi" w:cstheme="majorBidi"/>
                <w:b/>
                <w:bCs/>
                <w:color w:val="000000"/>
                <w:sz w:val="32"/>
                <w:szCs w:val="32"/>
              </w:rPr>
              <w:t>Differential diagnosis</w:t>
            </w:r>
          </w:p>
          <w:p w:rsidR="00ED7A0E" w:rsidRPr="00E171D9" w:rsidRDefault="00ED7A0E" w:rsidP="00CF4CAC">
            <w:pPr>
              <w:autoSpaceDE w:val="0"/>
              <w:autoSpaceDN w:val="0"/>
              <w:adjustRightInd w:val="0"/>
              <w:spacing w:after="0" w:line="240" w:lineRule="auto"/>
              <w:jc w:val="both"/>
              <w:rPr>
                <w:rFonts w:asciiTheme="majorBidi" w:hAnsiTheme="majorBidi" w:cstheme="majorBidi"/>
                <w:b/>
                <w:bCs/>
                <w:color w:val="000000"/>
                <w:sz w:val="32"/>
                <w:szCs w:val="32"/>
              </w:rPr>
            </w:pPr>
            <w:r>
              <w:rPr>
                <w:rFonts w:asciiTheme="majorBidi" w:hAnsiTheme="majorBidi" w:cstheme="majorBidi"/>
                <w:b/>
                <w:bCs/>
                <w:color w:val="000000"/>
                <w:sz w:val="32"/>
                <w:szCs w:val="32"/>
              </w:rPr>
              <w:t>sheep</w:t>
            </w:r>
          </w:p>
          <w:p w:rsidR="00ED7A0E" w:rsidRPr="00E171D9" w:rsidRDefault="00ED7A0E" w:rsidP="006B4916">
            <w:pPr>
              <w:autoSpaceDE w:val="0"/>
              <w:autoSpaceDN w:val="0"/>
              <w:adjustRightInd w:val="0"/>
              <w:spacing w:after="0" w:line="240" w:lineRule="auto"/>
              <w:rPr>
                <w:rFonts w:asciiTheme="majorBidi" w:hAnsiTheme="majorBidi" w:cstheme="majorBidi"/>
                <w:sz w:val="32"/>
                <w:szCs w:val="32"/>
              </w:rPr>
            </w:pPr>
            <w:r w:rsidRPr="00E171D9">
              <w:rPr>
                <w:rFonts w:asciiTheme="majorBidi" w:hAnsiTheme="majorBidi" w:cstheme="majorBidi"/>
                <w:sz w:val="32"/>
                <w:szCs w:val="32"/>
              </w:rPr>
              <w:t xml:space="preserve">• </w:t>
            </w:r>
            <w:r w:rsidR="006B4916">
              <w:rPr>
                <w:rFonts w:asciiTheme="majorBidi" w:hAnsiTheme="majorBidi" w:cstheme="majorBidi"/>
                <w:sz w:val="32"/>
                <w:szCs w:val="32"/>
              </w:rPr>
              <w:t>foot abscesses</w:t>
            </w:r>
          </w:p>
          <w:p w:rsidR="00ED7A0E" w:rsidRPr="00E171D9" w:rsidRDefault="00ED7A0E" w:rsidP="00CF4CAC">
            <w:pPr>
              <w:autoSpaceDE w:val="0"/>
              <w:autoSpaceDN w:val="0"/>
              <w:adjustRightInd w:val="0"/>
              <w:spacing w:after="0" w:line="240" w:lineRule="auto"/>
              <w:rPr>
                <w:rFonts w:asciiTheme="majorBidi" w:hAnsiTheme="majorBidi" w:cstheme="majorBidi"/>
                <w:sz w:val="32"/>
                <w:szCs w:val="32"/>
              </w:rPr>
            </w:pPr>
            <w:r w:rsidRPr="00E171D9">
              <w:rPr>
                <w:rFonts w:asciiTheme="majorBidi" w:hAnsiTheme="majorBidi" w:cstheme="majorBidi"/>
                <w:sz w:val="32"/>
                <w:szCs w:val="32"/>
              </w:rPr>
              <w:t>• Bluetongue</w:t>
            </w:r>
          </w:p>
          <w:p w:rsidR="00ED7A0E" w:rsidRPr="00E171D9" w:rsidRDefault="00ED7A0E" w:rsidP="00CF4CAC">
            <w:pPr>
              <w:autoSpaceDE w:val="0"/>
              <w:autoSpaceDN w:val="0"/>
              <w:adjustRightInd w:val="0"/>
              <w:spacing w:after="0" w:line="240" w:lineRule="auto"/>
              <w:rPr>
                <w:rFonts w:asciiTheme="majorBidi" w:hAnsiTheme="majorBidi" w:cstheme="majorBidi"/>
                <w:sz w:val="32"/>
                <w:szCs w:val="32"/>
              </w:rPr>
            </w:pPr>
            <w:r w:rsidRPr="00E171D9">
              <w:rPr>
                <w:rFonts w:asciiTheme="majorBidi" w:hAnsiTheme="majorBidi" w:cstheme="majorBidi"/>
                <w:sz w:val="32"/>
                <w:szCs w:val="32"/>
              </w:rPr>
              <w:t>• Foot and mouth disease</w:t>
            </w:r>
          </w:p>
          <w:p w:rsidR="00ED7A0E" w:rsidRPr="00E171D9" w:rsidRDefault="00ED7A0E" w:rsidP="00CF4CAC">
            <w:pPr>
              <w:autoSpaceDE w:val="0"/>
              <w:autoSpaceDN w:val="0"/>
              <w:adjustRightInd w:val="0"/>
              <w:spacing w:after="0" w:line="240" w:lineRule="auto"/>
              <w:rPr>
                <w:rFonts w:asciiTheme="majorBidi" w:hAnsiTheme="majorBidi" w:cstheme="majorBidi"/>
                <w:sz w:val="32"/>
                <w:szCs w:val="32"/>
              </w:rPr>
            </w:pPr>
            <w:r w:rsidRPr="00E171D9">
              <w:rPr>
                <w:rFonts w:asciiTheme="majorBidi" w:hAnsiTheme="majorBidi" w:cstheme="majorBidi"/>
                <w:sz w:val="32"/>
                <w:szCs w:val="32"/>
              </w:rPr>
              <w:t>• Ulcerative dermatosis</w:t>
            </w:r>
          </w:p>
          <w:p w:rsidR="00ED7A0E" w:rsidRPr="00E171D9" w:rsidRDefault="00ED7A0E" w:rsidP="00CF4CAC">
            <w:pPr>
              <w:autoSpaceDE w:val="0"/>
              <w:autoSpaceDN w:val="0"/>
              <w:adjustRightInd w:val="0"/>
              <w:spacing w:after="0" w:line="240" w:lineRule="auto"/>
              <w:rPr>
                <w:rFonts w:asciiTheme="majorBidi" w:hAnsiTheme="majorBidi" w:cstheme="majorBidi"/>
                <w:sz w:val="32"/>
                <w:szCs w:val="32"/>
              </w:rPr>
            </w:pPr>
            <w:r w:rsidRPr="00E171D9">
              <w:rPr>
                <w:rFonts w:asciiTheme="majorBidi" w:hAnsiTheme="majorBidi" w:cstheme="majorBidi"/>
                <w:sz w:val="32"/>
                <w:szCs w:val="32"/>
              </w:rPr>
              <w:t>• Laminitis</w:t>
            </w:r>
          </w:p>
          <w:p w:rsidR="00ED7A0E" w:rsidRDefault="00ED7A0E" w:rsidP="00CF4CAC">
            <w:pPr>
              <w:autoSpaceDE w:val="0"/>
              <w:autoSpaceDN w:val="0"/>
              <w:adjustRightInd w:val="0"/>
              <w:spacing w:after="0" w:line="240" w:lineRule="auto"/>
              <w:rPr>
                <w:rFonts w:asciiTheme="majorBidi" w:hAnsiTheme="majorBidi" w:cstheme="majorBidi"/>
                <w:sz w:val="32"/>
                <w:szCs w:val="32"/>
              </w:rPr>
            </w:pPr>
            <w:r w:rsidRPr="00E171D9">
              <w:rPr>
                <w:rFonts w:asciiTheme="majorBidi" w:hAnsiTheme="majorBidi" w:cstheme="majorBidi"/>
                <w:sz w:val="32"/>
                <w:szCs w:val="32"/>
              </w:rPr>
              <w:t>• Lameness associated with Erysipelothrix insidiosa, and occurring after dipp</w:t>
            </w:r>
            <w:r>
              <w:rPr>
                <w:rFonts w:asciiTheme="majorBidi" w:hAnsiTheme="majorBidi" w:cstheme="majorBidi"/>
                <w:sz w:val="32"/>
                <w:szCs w:val="32"/>
              </w:rPr>
              <w:t>ing</w:t>
            </w:r>
          </w:p>
          <w:p w:rsidR="00ED7A0E" w:rsidRPr="00E171D9" w:rsidRDefault="00ED7A0E" w:rsidP="00CF4CAC">
            <w:pPr>
              <w:autoSpaceDE w:val="0"/>
              <w:autoSpaceDN w:val="0"/>
              <w:adjustRightInd w:val="0"/>
              <w:spacing w:after="0" w:line="240" w:lineRule="auto"/>
              <w:jc w:val="both"/>
              <w:rPr>
                <w:rFonts w:asciiTheme="majorBidi" w:hAnsiTheme="majorBidi" w:cstheme="majorBidi"/>
                <w:b/>
                <w:bCs/>
                <w:color w:val="000000"/>
                <w:sz w:val="32"/>
                <w:szCs w:val="32"/>
              </w:rPr>
            </w:pPr>
            <w:r w:rsidRPr="00E171D9">
              <w:rPr>
                <w:rFonts w:asciiTheme="majorBidi" w:hAnsiTheme="majorBidi" w:cstheme="majorBidi"/>
                <w:b/>
                <w:bCs/>
                <w:color w:val="000000"/>
                <w:sz w:val="32"/>
                <w:szCs w:val="32"/>
              </w:rPr>
              <w:t>cattle</w:t>
            </w:r>
          </w:p>
        </w:tc>
      </w:tr>
      <w:tr w:rsidR="00ED7A0E" w:rsidRPr="0046287B" w:rsidTr="00CF4CAC">
        <w:trPr>
          <w:tblCellSpacing w:w="0" w:type="dxa"/>
        </w:trPr>
        <w:tc>
          <w:tcPr>
            <w:tcW w:w="0" w:type="auto"/>
            <w:vAlign w:val="center"/>
            <w:hideMark/>
          </w:tcPr>
          <w:tbl>
            <w:tblPr>
              <w:tblW w:w="9566" w:type="dxa"/>
              <w:tblCellSpacing w:w="15" w:type="dxa"/>
              <w:tblCellMar>
                <w:top w:w="15" w:type="dxa"/>
                <w:left w:w="15" w:type="dxa"/>
                <w:bottom w:w="15" w:type="dxa"/>
                <w:right w:w="15" w:type="dxa"/>
              </w:tblCellMar>
              <w:tblLook w:val="04A0"/>
            </w:tblPr>
            <w:tblGrid>
              <w:gridCol w:w="9566"/>
            </w:tblGrid>
            <w:tr w:rsidR="00ED7A0E" w:rsidRPr="00801001" w:rsidTr="00CF4CAC">
              <w:trPr>
                <w:trHeight w:val="2659"/>
                <w:tblCellSpacing w:w="15" w:type="dxa"/>
              </w:trPr>
              <w:tc>
                <w:tcPr>
                  <w:tcW w:w="0" w:type="auto"/>
                  <w:tcMar>
                    <w:top w:w="15" w:type="dxa"/>
                    <w:left w:w="225" w:type="dxa"/>
                    <w:bottom w:w="15" w:type="dxa"/>
                    <w:right w:w="15" w:type="dxa"/>
                  </w:tcMar>
                  <w:vAlign w:val="center"/>
                  <w:hideMark/>
                </w:tcPr>
                <w:p w:rsidR="00ED7A0E" w:rsidRPr="00E171D9" w:rsidRDefault="00ED7A0E" w:rsidP="00ED7A0E">
                  <w:pPr>
                    <w:pStyle w:val="ListParagraph"/>
                    <w:numPr>
                      <w:ilvl w:val="0"/>
                      <w:numId w:val="2"/>
                    </w:numPr>
                    <w:spacing w:after="0" w:line="360" w:lineRule="atLeast"/>
                    <w:jc w:val="both"/>
                    <w:rPr>
                      <w:rFonts w:asciiTheme="majorBidi" w:eastAsia="Times New Roman" w:hAnsiTheme="majorBidi" w:cstheme="majorBidi"/>
                      <w:sz w:val="32"/>
                      <w:szCs w:val="32"/>
                    </w:rPr>
                  </w:pPr>
                  <w:r w:rsidRPr="00E171D9">
                    <w:rPr>
                      <w:rFonts w:asciiTheme="majorBidi" w:eastAsia="Times New Roman" w:hAnsiTheme="majorBidi" w:cstheme="majorBidi"/>
                      <w:sz w:val="32"/>
                      <w:szCs w:val="32"/>
                    </w:rPr>
                    <w:t>infected sand cracks</w:t>
                  </w:r>
                </w:p>
                <w:p w:rsidR="00ED7A0E" w:rsidRPr="00E171D9" w:rsidRDefault="00ED7A0E" w:rsidP="00ED7A0E">
                  <w:pPr>
                    <w:pStyle w:val="ListParagraph"/>
                    <w:numPr>
                      <w:ilvl w:val="0"/>
                      <w:numId w:val="2"/>
                    </w:numPr>
                    <w:spacing w:after="0" w:line="360" w:lineRule="atLeast"/>
                    <w:jc w:val="both"/>
                    <w:rPr>
                      <w:rFonts w:asciiTheme="majorBidi" w:eastAsia="Times New Roman" w:hAnsiTheme="majorBidi" w:cstheme="majorBidi"/>
                      <w:sz w:val="32"/>
                      <w:szCs w:val="32"/>
                    </w:rPr>
                  </w:pPr>
                  <w:r w:rsidRPr="00E171D9">
                    <w:rPr>
                      <w:rFonts w:asciiTheme="majorBidi" w:eastAsia="Times New Roman" w:hAnsiTheme="majorBidi" w:cstheme="majorBidi"/>
                      <w:sz w:val="32"/>
                      <w:szCs w:val="32"/>
                    </w:rPr>
                    <w:t>white line disease</w:t>
                  </w:r>
                </w:p>
                <w:p w:rsidR="00ED7A0E" w:rsidRPr="00E171D9" w:rsidRDefault="00ED7A0E" w:rsidP="00ED7A0E">
                  <w:pPr>
                    <w:pStyle w:val="ListParagraph"/>
                    <w:numPr>
                      <w:ilvl w:val="0"/>
                      <w:numId w:val="2"/>
                    </w:numPr>
                    <w:spacing w:after="0" w:line="360" w:lineRule="atLeast"/>
                    <w:jc w:val="both"/>
                    <w:rPr>
                      <w:rFonts w:asciiTheme="majorBidi" w:eastAsia="Times New Roman" w:hAnsiTheme="majorBidi" w:cstheme="majorBidi"/>
                      <w:sz w:val="32"/>
                      <w:szCs w:val="32"/>
                    </w:rPr>
                  </w:pPr>
                  <w:r w:rsidRPr="00E171D9">
                    <w:rPr>
                      <w:rFonts w:asciiTheme="majorBidi" w:eastAsia="Times New Roman" w:hAnsiTheme="majorBidi" w:cstheme="majorBidi"/>
                      <w:sz w:val="32"/>
                      <w:szCs w:val="32"/>
                    </w:rPr>
                    <w:t>retroarticular abscesses</w:t>
                  </w:r>
                </w:p>
                <w:p w:rsidR="00ED7A0E" w:rsidRDefault="00ED7A0E" w:rsidP="00ED7A0E">
                  <w:pPr>
                    <w:pStyle w:val="ListParagraph"/>
                    <w:numPr>
                      <w:ilvl w:val="0"/>
                      <w:numId w:val="2"/>
                    </w:numPr>
                    <w:spacing w:after="0" w:line="360" w:lineRule="atLeast"/>
                    <w:jc w:val="both"/>
                    <w:rPr>
                      <w:rFonts w:asciiTheme="majorBidi" w:eastAsia="Times New Roman" w:hAnsiTheme="majorBidi" w:cstheme="majorBidi"/>
                      <w:sz w:val="32"/>
                      <w:szCs w:val="32"/>
                    </w:rPr>
                  </w:pPr>
                  <w:r w:rsidRPr="00E171D9">
                    <w:rPr>
                      <w:rFonts w:asciiTheme="majorBidi" w:eastAsia="Times New Roman" w:hAnsiTheme="majorBidi" w:cstheme="majorBidi"/>
                      <w:sz w:val="32"/>
                      <w:szCs w:val="32"/>
                    </w:rPr>
                    <w:t>foreign bodies in the interdigital space</w:t>
                  </w:r>
                </w:p>
                <w:p w:rsidR="00ED7A0E" w:rsidRPr="00801001" w:rsidRDefault="00ED7A0E" w:rsidP="00ED7A0E">
                  <w:pPr>
                    <w:pStyle w:val="ListParagraph"/>
                    <w:numPr>
                      <w:ilvl w:val="0"/>
                      <w:numId w:val="2"/>
                    </w:numPr>
                    <w:spacing w:after="0" w:line="360" w:lineRule="atLeast"/>
                    <w:jc w:val="both"/>
                    <w:rPr>
                      <w:rFonts w:asciiTheme="majorBidi" w:eastAsia="Times New Roman" w:hAnsiTheme="majorBidi" w:cstheme="majorBidi"/>
                      <w:sz w:val="32"/>
                      <w:szCs w:val="32"/>
                    </w:rPr>
                  </w:pPr>
                  <w:r w:rsidRPr="00E171D9">
                    <w:rPr>
                      <w:rFonts w:asciiTheme="majorBidi" w:eastAsia="Times New Roman" w:hAnsiTheme="majorBidi" w:cstheme="majorBidi"/>
                      <w:sz w:val="32"/>
                      <w:szCs w:val="32"/>
                    </w:rPr>
                    <w:t xml:space="preserve">infection of the distal interphalangeal joint can have a similar appearance if viewed from a distance. </w:t>
                  </w:r>
                </w:p>
              </w:tc>
            </w:tr>
          </w:tbl>
          <w:p w:rsidR="00ED7A0E" w:rsidRPr="00801001" w:rsidRDefault="00ED7A0E" w:rsidP="00CF4CAC">
            <w:pPr>
              <w:spacing w:after="0" w:line="360" w:lineRule="atLeast"/>
              <w:jc w:val="both"/>
              <w:rPr>
                <w:rFonts w:asciiTheme="majorBidi" w:eastAsia="Times New Roman" w:hAnsiTheme="majorBidi" w:cstheme="majorBidi"/>
                <w:sz w:val="32"/>
                <w:szCs w:val="32"/>
              </w:rPr>
            </w:pPr>
          </w:p>
        </w:tc>
        <w:tc>
          <w:tcPr>
            <w:tcW w:w="0" w:type="auto"/>
            <w:vAlign w:val="bottom"/>
            <w:hideMark/>
          </w:tcPr>
          <w:p w:rsidR="00ED7A0E" w:rsidRPr="0046287B" w:rsidRDefault="00ED7A0E" w:rsidP="00CF4CAC">
            <w:pPr>
              <w:spacing w:after="0" w:line="360" w:lineRule="atLeast"/>
              <w:rPr>
                <w:rFonts w:asciiTheme="majorBidi" w:eastAsia="Times New Roman" w:hAnsiTheme="majorBidi" w:cstheme="majorBidi"/>
                <w:sz w:val="28"/>
                <w:szCs w:val="28"/>
              </w:rPr>
            </w:pPr>
          </w:p>
        </w:tc>
      </w:tr>
    </w:tbl>
    <w:p w:rsidR="00ED7A0E" w:rsidRPr="0046287B" w:rsidRDefault="00ED7A0E" w:rsidP="00ED7A0E">
      <w:pPr>
        <w:spacing w:after="0" w:line="240" w:lineRule="auto"/>
        <w:rPr>
          <w:rFonts w:asciiTheme="majorBidi" w:eastAsia="Times New Roman" w:hAnsiTheme="majorBidi" w:cstheme="majorBidi"/>
          <w:vanish/>
          <w:color w:val="000000"/>
          <w:sz w:val="28"/>
          <w:szCs w:val="28"/>
        </w:rPr>
      </w:pPr>
    </w:p>
    <w:tbl>
      <w:tblPr>
        <w:tblW w:w="5000" w:type="pct"/>
        <w:tblCellSpacing w:w="0" w:type="dxa"/>
        <w:tblCellMar>
          <w:left w:w="0" w:type="dxa"/>
          <w:right w:w="0" w:type="dxa"/>
        </w:tblCellMar>
        <w:tblLook w:val="04A0"/>
      </w:tblPr>
      <w:tblGrid>
        <w:gridCol w:w="8525"/>
        <w:gridCol w:w="6"/>
      </w:tblGrid>
      <w:tr w:rsidR="00ED7A0E" w:rsidRPr="0046287B" w:rsidTr="00CF4CAC">
        <w:trPr>
          <w:gridAfter w:val="1"/>
          <w:tblCellSpacing w:w="0" w:type="dxa"/>
        </w:trPr>
        <w:tc>
          <w:tcPr>
            <w:tcW w:w="0" w:type="auto"/>
            <w:tcMar>
              <w:top w:w="0" w:type="dxa"/>
              <w:left w:w="225" w:type="dxa"/>
              <w:bottom w:w="0" w:type="dxa"/>
              <w:right w:w="0" w:type="dxa"/>
            </w:tcMar>
            <w:vAlign w:val="center"/>
            <w:hideMark/>
          </w:tcPr>
          <w:p w:rsidR="00ED7A0E" w:rsidRPr="00E171D9" w:rsidRDefault="00ED7A0E" w:rsidP="00CF4CAC">
            <w:pPr>
              <w:spacing w:after="0" w:line="360" w:lineRule="atLeast"/>
              <w:rPr>
                <w:rFonts w:asciiTheme="majorBidi" w:eastAsia="Times New Roman" w:hAnsiTheme="majorBidi" w:cstheme="majorBidi"/>
                <w:b/>
                <w:bCs/>
                <w:sz w:val="36"/>
                <w:szCs w:val="36"/>
              </w:rPr>
            </w:pPr>
            <w:bookmarkStart w:id="3" w:name="aTreatment:"/>
            <w:bookmarkEnd w:id="3"/>
            <w:r w:rsidRPr="00E171D9">
              <w:rPr>
                <w:rFonts w:asciiTheme="majorBidi" w:eastAsia="Times New Roman" w:hAnsiTheme="majorBidi" w:cstheme="majorBidi"/>
                <w:b/>
                <w:bCs/>
                <w:sz w:val="36"/>
                <w:szCs w:val="36"/>
              </w:rPr>
              <w:t>Treatment:</w:t>
            </w:r>
          </w:p>
        </w:tc>
      </w:tr>
      <w:tr w:rsidR="00ED7A0E" w:rsidRPr="0046287B" w:rsidTr="00CF4CAC">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525"/>
            </w:tblGrid>
            <w:tr w:rsidR="00ED7A0E" w:rsidRPr="0046287B" w:rsidTr="00CF4CAC">
              <w:trPr>
                <w:tblCellSpacing w:w="15" w:type="dxa"/>
              </w:trPr>
              <w:tc>
                <w:tcPr>
                  <w:tcW w:w="0" w:type="auto"/>
                  <w:tcMar>
                    <w:top w:w="15" w:type="dxa"/>
                    <w:left w:w="225" w:type="dxa"/>
                    <w:bottom w:w="15" w:type="dxa"/>
                    <w:right w:w="15" w:type="dxa"/>
                  </w:tcMar>
                  <w:vAlign w:val="center"/>
                  <w:hideMark/>
                </w:tcPr>
                <w:p w:rsidR="00ED7A0E" w:rsidRPr="009C4754" w:rsidRDefault="00ED7A0E" w:rsidP="00ED7A0E">
                  <w:pPr>
                    <w:pStyle w:val="ListParagraph"/>
                    <w:numPr>
                      <w:ilvl w:val="0"/>
                      <w:numId w:val="1"/>
                    </w:numPr>
                    <w:autoSpaceDE w:val="0"/>
                    <w:autoSpaceDN w:val="0"/>
                    <w:adjustRightInd w:val="0"/>
                    <w:spacing w:after="0" w:line="240" w:lineRule="auto"/>
                    <w:rPr>
                      <w:rFonts w:asciiTheme="majorBidi" w:hAnsiTheme="majorBidi" w:cstheme="majorBidi"/>
                      <w:sz w:val="32"/>
                      <w:szCs w:val="32"/>
                    </w:rPr>
                  </w:pPr>
                  <w:r w:rsidRPr="009C4754">
                    <w:rPr>
                      <w:rFonts w:asciiTheme="majorBidi" w:eastAsia="Times New Roman" w:hAnsiTheme="majorBidi" w:cstheme="majorBidi"/>
                      <w:sz w:val="32"/>
                      <w:szCs w:val="32"/>
                    </w:rPr>
                    <w:t xml:space="preserve">Most treated animals recover in a few days. Good results are obtained with penicillin G, </w:t>
                  </w:r>
                  <w:r w:rsidRPr="009C4754">
                    <w:rPr>
                      <w:rFonts w:asciiTheme="majorBidi" w:hAnsiTheme="majorBidi" w:cstheme="majorBidi"/>
                      <w:sz w:val="32"/>
                      <w:szCs w:val="32"/>
                    </w:rPr>
                    <w:t xml:space="preserve">22 000 IU/kg BW </w:t>
                  </w:r>
                  <w:r w:rsidRPr="009C4754">
                    <w:rPr>
                      <w:rFonts w:asciiTheme="majorBidi" w:eastAsia="Times New Roman" w:hAnsiTheme="majorBidi" w:cstheme="majorBidi"/>
                      <w:sz w:val="32"/>
                      <w:szCs w:val="32"/>
                    </w:rPr>
                    <w:t>IM, for 3 days. Treatment should be administered as soon as signs are observed.</w:t>
                  </w:r>
                </w:p>
                <w:p w:rsidR="00ED7A0E" w:rsidRPr="009C4754" w:rsidRDefault="00ED7A0E" w:rsidP="00ED7A0E">
                  <w:pPr>
                    <w:pStyle w:val="ListParagraph"/>
                    <w:numPr>
                      <w:ilvl w:val="0"/>
                      <w:numId w:val="1"/>
                    </w:numPr>
                    <w:autoSpaceDE w:val="0"/>
                    <w:autoSpaceDN w:val="0"/>
                    <w:adjustRightInd w:val="0"/>
                    <w:spacing w:after="0" w:line="240" w:lineRule="auto"/>
                    <w:rPr>
                      <w:rFonts w:asciiTheme="majorBidi" w:hAnsiTheme="majorBidi" w:cstheme="majorBidi"/>
                      <w:sz w:val="32"/>
                      <w:szCs w:val="32"/>
                    </w:rPr>
                  </w:pPr>
                  <w:r w:rsidRPr="009C4754">
                    <w:rPr>
                      <w:rFonts w:asciiTheme="majorBidi" w:eastAsia="Times New Roman" w:hAnsiTheme="majorBidi" w:cstheme="majorBidi"/>
                      <w:sz w:val="32"/>
                      <w:szCs w:val="32"/>
                    </w:rPr>
                    <w:t>Early cases respond well to single doses of long-acting oxytetracycline.</w:t>
                  </w:r>
                </w:p>
                <w:p w:rsidR="00ED7A0E" w:rsidRPr="009C4754" w:rsidRDefault="00ED7A0E" w:rsidP="00ED7A0E">
                  <w:pPr>
                    <w:pStyle w:val="ListParagraph"/>
                    <w:numPr>
                      <w:ilvl w:val="0"/>
                      <w:numId w:val="1"/>
                    </w:numPr>
                    <w:autoSpaceDE w:val="0"/>
                    <w:autoSpaceDN w:val="0"/>
                    <w:adjustRightInd w:val="0"/>
                    <w:spacing w:after="0" w:line="240" w:lineRule="auto"/>
                    <w:rPr>
                      <w:rFonts w:asciiTheme="majorBidi" w:hAnsiTheme="majorBidi" w:cstheme="majorBidi"/>
                      <w:sz w:val="32"/>
                      <w:szCs w:val="32"/>
                    </w:rPr>
                  </w:pPr>
                  <w:r w:rsidRPr="009C4754">
                    <w:rPr>
                      <w:rFonts w:asciiTheme="majorBidi" w:hAnsiTheme="majorBidi" w:cstheme="majorBidi"/>
                      <w:sz w:val="32"/>
                      <w:szCs w:val="32"/>
                    </w:rPr>
                    <w:t>Ceftiofur, 1-2 mg/kg (BW) 1M.</w:t>
                  </w:r>
                </w:p>
                <w:p w:rsidR="00ED7A0E" w:rsidRPr="002A651D" w:rsidRDefault="00ED7A0E" w:rsidP="00ED7A0E">
                  <w:pPr>
                    <w:pStyle w:val="ListParagraph"/>
                    <w:numPr>
                      <w:ilvl w:val="0"/>
                      <w:numId w:val="1"/>
                    </w:numPr>
                    <w:autoSpaceDE w:val="0"/>
                    <w:autoSpaceDN w:val="0"/>
                    <w:adjustRightInd w:val="0"/>
                    <w:spacing w:after="0" w:line="240" w:lineRule="auto"/>
                    <w:rPr>
                      <w:rFonts w:asciiTheme="majorBidi" w:hAnsiTheme="majorBidi" w:cstheme="majorBidi"/>
                      <w:sz w:val="32"/>
                      <w:szCs w:val="32"/>
                    </w:rPr>
                  </w:pPr>
                  <w:r w:rsidRPr="009E1C97">
                    <w:rPr>
                      <w:rFonts w:asciiTheme="majorBidi" w:hAnsiTheme="majorBidi" w:cstheme="majorBidi"/>
                      <w:sz w:val="32"/>
                      <w:szCs w:val="32"/>
                    </w:rPr>
                    <w:t>Sodium sulfadimidine (150-200 mg/kg BW) solution given by IV injection is highly effective.</w:t>
                  </w:r>
                </w:p>
              </w:tc>
            </w:tr>
          </w:tbl>
          <w:p w:rsidR="00ED7A0E" w:rsidRPr="0046287B" w:rsidRDefault="00ED7A0E" w:rsidP="00CF4CAC">
            <w:pPr>
              <w:spacing w:after="0" w:line="360" w:lineRule="atLeast"/>
              <w:rPr>
                <w:rFonts w:asciiTheme="majorBidi" w:eastAsia="Times New Roman" w:hAnsiTheme="majorBidi" w:cstheme="majorBidi"/>
                <w:vanish/>
                <w:sz w:val="28"/>
                <w:szCs w:val="28"/>
              </w:rPr>
            </w:pPr>
          </w:p>
          <w:tbl>
            <w:tblPr>
              <w:tblW w:w="5000" w:type="pct"/>
              <w:tblCellSpacing w:w="15" w:type="dxa"/>
              <w:tblCellMar>
                <w:top w:w="15" w:type="dxa"/>
                <w:left w:w="15" w:type="dxa"/>
                <w:bottom w:w="15" w:type="dxa"/>
                <w:right w:w="15" w:type="dxa"/>
              </w:tblCellMar>
              <w:tblLook w:val="04A0"/>
            </w:tblPr>
            <w:tblGrid>
              <w:gridCol w:w="8525"/>
            </w:tblGrid>
            <w:tr w:rsidR="00ED7A0E" w:rsidRPr="0046287B" w:rsidTr="00CF4CAC">
              <w:trPr>
                <w:tblCellSpacing w:w="15" w:type="dxa"/>
              </w:trPr>
              <w:tc>
                <w:tcPr>
                  <w:tcW w:w="0" w:type="auto"/>
                  <w:tcMar>
                    <w:top w:w="15" w:type="dxa"/>
                    <w:left w:w="225" w:type="dxa"/>
                    <w:bottom w:w="15" w:type="dxa"/>
                    <w:right w:w="15" w:type="dxa"/>
                  </w:tcMar>
                  <w:vAlign w:val="center"/>
                  <w:hideMark/>
                </w:tcPr>
                <w:p w:rsidR="00ED7A0E" w:rsidRPr="009E1C97" w:rsidRDefault="00ED7A0E" w:rsidP="00ED7A0E">
                  <w:pPr>
                    <w:pStyle w:val="ListParagraph"/>
                    <w:numPr>
                      <w:ilvl w:val="0"/>
                      <w:numId w:val="1"/>
                    </w:numPr>
                    <w:spacing w:after="0" w:line="360" w:lineRule="atLeast"/>
                    <w:rPr>
                      <w:rFonts w:asciiTheme="majorBidi" w:eastAsia="Times New Roman" w:hAnsiTheme="majorBidi" w:cstheme="majorBidi"/>
                      <w:sz w:val="32"/>
                      <w:szCs w:val="32"/>
                    </w:rPr>
                  </w:pPr>
                  <w:r w:rsidRPr="009E1C97">
                    <w:rPr>
                      <w:rFonts w:asciiTheme="majorBidi" w:eastAsia="Times New Roman" w:hAnsiTheme="majorBidi" w:cstheme="majorBidi"/>
                      <w:sz w:val="32"/>
                      <w:szCs w:val="32"/>
                    </w:rPr>
                    <w:t>Trimethoprim IM, </w:t>
                  </w:r>
                  <w:r w:rsidRPr="009E1C97">
                    <w:rPr>
                      <w:rFonts w:asciiTheme="majorBidi" w:eastAsia="Times New Roman" w:hAnsiTheme="majorBidi" w:cstheme="majorBidi"/>
                      <w:smallCaps/>
                      <w:sz w:val="32"/>
                      <w:szCs w:val="32"/>
                    </w:rPr>
                    <w:t>bid</w:t>
                  </w:r>
                  <w:r w:rsidRPr="009E1C97">
                    <w:rPr>
                      <w:rFonts w:asciiTheme="majorBidi" w:eastAsia="Times New Roman" w:hAnsiTheme="majorBidi" w:cstheme="majorBidi"/>
                      <w:sz w:val="32"/>
                      <w:szCs w:val="32"/>
                    </w:rPr>
                    <w:t xml:space="preserve"> for 3 days, can also be used. </w:t>
                  </w:r>
                </w:p>
                <w:p w:rsidR="00ED7A0E" w:rsidRPr="009E1C97" w:rsidRDefault="00ED7A0E" w:rsidP="00ED7A0E">
                  <w:pPr>
                    <w:pStyle w:val="ListParagraph"/>
                    <w:numPr>
                      <w:ilvl w:val="0"/>
                      <w:numId w:val="1"/>
                    </w:numPr>
                    <w:spacing w:after="0" w:line="360" w:lineRule="atLeast"/>
                    <w:rPr>
                      <w:rFonts w:asciiTheme="majorBidi" w:eastAsia="Times New Roman" w:hAnsiTheme="majorBidi" w:cstheme="majorBidi"/>
                      <w:sz w:val="28"/>
                      <w:szCs w:val="28"/>
                    </w:rPr>
                  </w:pPr>
                  <w:r w:rsidRPr="009E1C97">
                    <w:rPr>
                      <w:rFonts w:asciiTheme="majorBidi" w:eastAsia="Times New Roman" w:hAnsiTheme="majorBidi" w:cstheme="majorBidi"/>
                      <w:sz w:val="32"/>
                      <w:szCs w:val="32"/>
                    </w:rPr>
                    <w:lastRenderedPageBreak/>
                    <w:t>A single oral administration of a long-acting bolus containing baquiloprim/sulfadimidine may be suitable for treating beef cattle.</w:t>
                  </w:r>
                </w:p>
              </w:tc>
            </w:tr>
          </w:tbl>
          <w:p w:rsidR="00ED7A0E" w:rsidRPr="0046287B" w:rsidRDefault="00ED7A0E" w:rsidP="00CF4CAC">
            <w:pPr>
              <w:spacing w:after="0" w:line="360" w:lineRule="atLeast"/>
              <w:rPr>
                <w:rFonts w:asciiTheme="majorBidi" w:eastAsia="Times New Roman" w:hAnsiTheme="majorBidi" w:cstheme="majorBidi"/>
                <w:vanish/>
                <w:sz w:val="28"/>
                <w:szCs w:val="28"/>
              </w:rPr>
            </w:pPr>
          </w:p>
          <w:tbl>
            <w:tblPr>
              <w:tblW w:w="5000" w:type="pct"/>
              <w:tblCellSpacing w:w="15" w:type="dxa"/>
              <w:tblCellMar>
                <w:top w:w="15" w:type="dxa"/>
                <w:left w:w="15" w:type="dxa"/>
                <w:bottom w:w="15" w:type="dxa"/>
                <w:right w:w="15" w:type="dxa"/>
              </w:tblCellMar>
              <w:tblLook w:val="04A0"/>
            </w:tblPr>
            <w:tblGrid>
              <w:gridCol w:w="8525"/>
            </w:tblGrid>
            <w:tr w:rsidR="00ED7A0E" w:rsidRPr="0046287B" w:rsidTr="00CF4CAC">
              <w:trPr>
                <w:tblCellSpacing w:w="15" w:type="dxa"/>
              </w:trPr>
              <w:tc>
                <w:tcPr>
                  <w:tcW w:w="0" w:type="auto"/>
                  <w:tcMar>
                    <w:top w:w="15" w:type="dxa"/>
                    <w:left w:w="225" w:type="dxa"/>
                    <w:bottom w:w="15" w:type="dxa"/>
                    <w:right w:w="15" w:type="dxa"/>
                  </w:tcMar>
                  <w:vAlign w:val="center"/>
                  <w:hideMark/>
                </w:tcPr>
                <w:p w:rsidR="00ED7A0E" w:rsidRPr="003D4E37" w:rsidRDefault="00ED7A0E" w:rsidP="00CF4CAC">
                  <w:pPr>
                    <w:spacing w:after="0" w:line="360" w:lineRule="atLeast"/>
                    <w:jc w:val="both"/>
                    <w:rPr>
                      <w:rFonts w:asciiTheme="majorBidi" w:eastAsia="Times New Roman" w:hAnsiTheme="majorBidi" w:cstheme="majorBidi"/>
                      <w:b/>
                      <w:bCs/>
                      <w:sz w:val="32"/>
                      <w:szCs w:val="32"/>
                    </w:rPr>
                  </w:pPr>
                  <w:r w:rsidRPr="003D4E37">
                    <w:rPr>
                      <w:rFonts w:asciiTheme="majorBidi" w:eastAsia="Times New Roman" w:hAnsiTheme="majorBidi" w:cstheme="majorBidi"/>
                      <w:b/>
                      <w:bCs/>
                      <w:sz w:val="32"/>
                      <w:szCs w:val="32"/>
                    </w:rPr>
                    <w:t xml:space="preserve">Local treatment. </w:t>
                  </w:r>
                </w:p>
                <w:p w:rsidR="00ED7A0E" w:rsidRPr="003D4E37" w:rsidRDefault="00ED7A0E" w:rsidP="00CF4CAC">
                  <w:pPr>
                    <w:autoSpaceDE w:val="0"/>
                    <w:autoSpaceDN w:val="0"/>
                    <w:adjustRightInd w:val="0"/>
                    <w:spacing w:after="0" w:line="240" w:lineRule="auto"/>
                    <w:rPr>
                      <w:rFonts w:asciiTheme="majorBidi" w:hAnsiTheme="majorBidi" w:cstheme="majorBidi"/>
                      <w:sz w:val="32"/>
                      <w:szCs w:val="32"/>
                    </w:rPr>
                  </w:pPr>
                  <w:r>
                    <w:rPr>
                      <w:rFonts w:asciiTheme="majorBidi" w:hAnsiTheme="majorBidi" w:cstheme="majorBidi"/>
                      <w:b/>
                      <w:bCs/>
                      <w:sz w:val="32"/>
                      <w:szCs w:val="32"/>
                    </w:rPr>
                    <w:t>1-</w:t>
                  </w:r>
                  <w:r w:rsidRPr="003D4E37">
                    <w:rPr>
                      <w:rFonts w:asciiTheme="majorBidi" w:hAnsiTheme="majorBidi" w:cstheme="majorBidi"/>
                      <w:b/>
                      <w:bCs/>
                      <w:sz w:val="32"/>
                      <w:szCs w:val="32"/>
                    </w:rPr>
                    <w:t>Preparations suitable</w:t>
                  </w:r>
                  <w:r w:rsidRPr="003D4E37">
                    <w:rPr>
                      <w:rFonts w:asciiTheme="majorBidi" w:hAnsiTheme="majorBidi" w:cstheme="majorBidi"/>
                      <w:sz w:val="32"/>
                      <w:szCs w:val="32"/>
                    </w:rPr>
                    <w:t xml:space="preserve"> for footbaths include 5% copper sulfate, 5 % formalin and 10% zinc sulfate with or without a surfactant to aid wetting of tissues.</w:t>
                  </w:r>
                </w:p>
              </w:tc>
            </w:tr>
          </w:tbl>
          <w:p w:rsidR="00ED7A0E" w:rsidRPr="0046287B" w:rsidRDefault="00ED7A0E" w:rsidP="00CF4CAC">
            <w:pPr>
              <w:spacing w:after="0" w:line="360" w:lineRule="atLeast"/>
              <w:rPr>
                <w:rFonts w:asciiTheme="majorBidi" w:eastAsia="Times New Roman" w:hAnsiTheme="majorBidi" w:cstheme="majorBidi"/>
                <w:vanish/>
                <w:sz w:val="28"/>
                <w:szCs w:val="28"/>
              </w:rPr>
            </w:pPr>
          </w:p>
          <w:tbl>
            <w:tblPr>
              <w:tblW w:w="5000" w:type="pct"/>
              <w:tblCellSpacing w:w="15" w:type="dxa"/>
              <w:tblCellMar>
                <w:top w:w="15" w:type="dxa"/>
                <w:left w:w="15" w:type="dxa"/>
                <w:bottom w:w="15" w:type="dxa"/>
                <w:right w:w="15" w:type="dxa"/>
              </w:tblCellMar>
              <w:tblLook w:val="04A0"/>
            </w:tblPr>
            <w:tblGrid>
              <w:gridCol w:w="8525"/>
            </w:tblGrid>
            <w:tr w:rsidR="00ED7A0E" w:rsidRPr="0046287B" w:rsidTr="00CF4CAC">
              <w:trPr>
                <w:tblCellSpacing w:w="15" w:type="dxa"/>
              </w:trPr>
              <w:tc>
                <w:tcPr>
                  <w:tcW w:w="0" w:type="auto"/>
                  <w:tcMar>
                    <w:top w:w="15" w:type="dxa"/>
                    <w:left w:w="225" w:type="dxa"/>
                    <w:bottom w:w="15" w:type="dxa"/>
                    <w:right w:w="15" w:type="dxa"/>
                  </w:tcMar>
                  <w:vAlign w:val="center"/>
                  <w:hideMark/>
                </w:tcPr>
                <w:p w:rsidR="00ED7A0E" w:rsidRDefault="00ED7A0E" w:rsidP="00CF4CAC">
                  <w:pPr>
                    <w:spacing w:after="0" w:line="360" w:lineRule="atLeast"/>
                    <w:jc w:val="both"/>
                    <w:rPr>
                      <w:rFonts w:asciiTheme="majorBidi" w:eastAsia="Times New Roman" w:hAnsiTheme="majorBidi" w:cstheme="majorBidi"/>
                      <w:sz w:val="32"/>
                      <w:szCs w:val="32"/>
                    </w:rPr>
                  </w:pPr>
                  <w:r>
                    <w:rPr>
                      <w:rFonts w:asciiTheme="majorBidi" w:eastAsia="Times New Roman" w:hAnsiTheme="majorBidi" w:cstheme="majorBidi"/>
                      <w:sz w:val="32"/>
                      <w:szCs w:val="32"/>
                    </w:rPr>
                    <w:t>2-</w:t>
                  </w:r>
                  <w:r w:rsidRPr="009E1C97">
                    <w:rPr>
                      <w:rFonts w:asciiTheme="majorBidi" w:eastAsia="Times New Roman" w:hAnsiTheme="majorBidi" w:cstheme="majorBidi"/>
                      <w:sz w:val="32"/>
                      <w:szCs w:val="32"/>
                    </w:rPr>
                    <w:t xml:space="preserve">The animal must be adequately restrained and the lesion cleansed. </w:t>
                  </w:r>
                </w:p>
                <w:p w:rsidR="00ED7A0E" w:rsidRDefault="00ED7A0E" w:rsidP="00CF4CAC">
                  <w:pPr>
                    <w:spacing w:after="0" w:line="360" w:lineRule="atLeast"/>
                    <w:jc w:val="both"/>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3- </w:t>
                  </w:r>
                  <w:r w:rsidRPr="009E1C97">
                    <w:rPr>
                      <w:rFonts w:asciiTheme="majorBidi" w:eastAsia="Times New Roman" w:hAnsiTheme="majorBidi" w:cstheme="majorBidi"/>
                      <w:sz w:val="32"/>
                      <w:szCs w:val="32"/>
                    </w:rPr>
                    <w:t xml:space="preserve">A nonirritant bacteriostatic agent (such as nitrofurazone or a sulfa preparation) should be applied as a topical dressing. </w:t>
                  </w:r>
                </w:p>
                <w:p w:rsidR="00ED7A0E" w:rsidRPr="009E1C97" w:rsidRDefault="00ED7A0E" w:rsidP="00CF4CAC">
                  <w:pPr>
                    <w:spacing w:after="0" w:line="360" w:lineRule="atLeast"/>
                    <w:jc w:val="both"/>
                    <w:rPr>
                      <w:rFonts w:asciiTheme="majorBidi" w:eastAsia="Times New Roman" w:hAnsiTheme="majorBidi" w:cstheme="majorBidi"/>
                      <w:sz w:val="32"/>
                      <w:szCs w:val="32"/>
                    </w:rPr>
                  </w:pPr>
                  <w:r w:rsidRPr="009E1C97">
                    <w:rPr>
                      <w:rFonts w:asciiTheme="majorBidi" w:eastAsia="Times New Roman" w:hAnsiTheme="majorBidi" w:cstheme="majorBidi"/>
                      <w:sz w:val="32"/>
                      <w:szCs w:val="32"/>
                    </w:rPr>
                    <w:t xml:space="preserve"> </w:t>
                  </w:r>
                </w:p>
              </w:tc>
            </w:tr>
          </w:tbl>
          <w:p w:rsidR="00ED7A0E" w:rsidRPr="0046287B" w:rsidRDefault="00ED7A0E" w:rsidP="00CF4CAC">
            <w:pPr>
              <w:spacing w:after="0" w:line="360" w:lineRule="atLeast"/>
              <w:rPr>
                <w:rFonts w:asciiTheme="majorBidi" w:eastAsia="Times New Roman" w:hAnsiTheme="majorBidi" w:cstheme="majorBidi"/>
                <w:sz w:val="28"/>
                <w:szCs w:val="28"/>
              </w:rPr>
            </w:pPr>
          </w:p>
        </w:tc>
        <w:tc>
          <w:tcPr>
            <w:tcW w:w="0" w:type="auto"/>
            <w:vAlign w:val="bottom"/>
            <w:hideMark/>
          </w:tcPr>
          <w:p w:rsidR="00ED7A0E" w:rsidRPr="0046287B" w:rsidRDefault="00ED7A0E" w:rsidP="00CF4CAC">
            <w:pPr>
              <w:spacing w:after="0" w:line="360" w:lineRule="atLeast"/>
              <w:rPr>
                <w:rFonts w:asciiTheme="majorBidi" w:eastAsia="Times New Roman" w:hAnsiTheme="majorBidi" w:cstheme="majorBidi"/>
                <w:sz w:val="28"/>
                <w:szCs w:val="28"/>
              </w:rPr>
            </w:pPr>
          </w:p>
        </w:tc>
      </w:tr>
    </w:tbl>
    <w:p w:rsidR="00ED7A0E" w:rsidRPr="0046287B" w:rsidRDefault="00ED7A0E" w:rsidP="00ED7A0E">
      <w:pPr>
        <w:spacing w:after="0" w:line="240" w:lineRule="auto"/>
        <w:rPr>
          <w:rFonts w:asciiTheme="majorBidi" w:eastAsia="Times New Roman" w:hAnsiTheme="majorBidi" w:cstheme="majorBidi"/>
          <w:vanish/>
          <w:color w:val="000000"/>
          <w:sz w:val="28"/>
          <w:szCs w:val="28"/>
        </w:rPr>
      </w:pPr>
    </w:p>
    <w:tbl>
      <w:tblPr>
        <w:tblW w:w="5000" w:type="pct"/>
        <w:tblCellSpacing w:w="0" w:type="dxa"/>
        <w:tblCellMar>
          <w:left w:w="0" w:type="dxa"/>
          <w:right w:w="0" w:type="dxa"/>
        </w:tblCellMar>
        <w:tblLook w:val="04A0"/>
      </w:tblPr>
      <w:tblGrid>
        <w:gridCol w:w="8525"/>
        <w:gridCol w:w="6"/>
      </w:tblGrid>
      <w:tr w:rsidR="00ED7A0E" w:rsidRPr="0046287B" w:rsidTr="00CF4CAC">
        <w:trPr>
          <w:gridAfter w:val="1"/>
          <w:tblCellSpacing w:w="0" w:type="dxa"/>
        </w:trPr>
        <w:tc>
          <w:tcPr>
            <w:tcW w:w="0" w:type="auto"/>
            <w:tcMar>
              <w:top w:w="0" w:type="dxa"/>
              <w:left w:w="225" w:type="dxa"/>
              <w:bottom w:w="0" w:type="dxa"/>
              <w:right w:w="0" w:type="dxa"/>
            </w:tcMar>
            <w:vAlign w:val="center"/>
            <w:hideMark/>
          </w:tcPr>
          <w:p w:rsidR="00ED7A0E" w:rsidRPr="003C0DCF" w:rsidRDefault="00ED7A0E" w:rsidP="00CF4CAC">
            <w:pPr>
              <w:spacing w:after="0" w:line="360" w:lineRule="atLeast"/>
              <w:rPr>
                <w:rFonts w:asciiTheme="majorBidi" w:eastAsia="Times New Roman" w:hAnsiTheme="majorBidi" w:cstheme="majorBidi"/>
                <w:b/>
                <w:bCs/>
                <w:color w:val="336666"/>
                <w:sz w:val="36"/>
                <w:szCs w:val="36"/>
              </w:rPr>
            </w:pPr>
            <w:bookmarkStart w:id="4" w:name="aPrevention_and_Control:"/>
            <w:bookmarkEnd w:id="4"/>
            <w:r w:rsidRPr="003C0DCF">
              <w:rPr>
                <w:rFonts w:asciiTheme="majorBidi" w:eastAsia="Times New Roman" w:hAnsiTheme="majorBidi" w:cstheme="majorBidi"/>
                <w:b/>
                <w:bCs/>
                <w:color w:val="336666"/>
                <w:sz w:val="36"/>
                <w:szCs w:val="36"/>
              </w:rPr>
              <w:t>Prevention and Control:</w:t>
            </w:r>
          </w:p>
        </w:tc>
      </w:tr>
      <w:tr w:rsidR="00ED7A0E" w:rsidRPr="0046287B" w:rsidTr="00CF4CAC">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525"/>
            </w:tblGrid>
            <w:tr w:rsidR="00ED7A0E" w:rsidRPr="003C0DCF" w:rsidTr="00CF4CAC">
              <w:trPr>
                <w:tblCellSpacing w:w="15" w:type="dxa"/>
              </w:trPr>
              <w:tc>
                <w:tcPr>
                  <w:tcW w:w="0" w:type="auto"/>
                  <w:tcMar>
                    <w:top w:w="15" w:type="dxa"/>
                    <w:left w:w="225" w:type="dxa"/>
                    <w:bottom w:w="15" w:type="dxa"/>
                    <w:right w:w="15" w:type="dxa"/>
                  </w:tcMar>
                  <w:vAlign w:val="center"/>
                  <w:hideMark/>
                </w:tcPr>
                <w:p w:rsidR="00ED7A0E" w:rsidRPr="003C0DCF" w:rsidRDefault="00ED7A0E" w:rsidP="00CF4CAC">
                  <w:pPr>
                    <w:spacing w:after="0" w:line="360" w:lineRule="atLeast"/>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1- </w:t>
                  </w:r>
                  <w:r w:rsidRPr="003C0DCF">
                    <w:rPr>
                      <w:rFonts w:asciiTheme="majorBidi" w:eastAsia="Times New Roman" w:hAnsiTheme="majorBidi" w:cstheme="majorBidi"/>
                      <w:sz w:val="32"/>
                      <w:szCs w:val="32"/>
                    </w:rPr>
                    <w:t xml:space="preserve">Animals that are actively shedding infectious organisms should be isolated until signs of lameness have disappeared. </w:t>
                  </w:r>
                </w:p>
              </w:tc>
            </w:tr>
          </w:tbl>
          <w:p w:rsidR="00ED7A0E" w:rsidRPr="003C0DCF" w:rsidRDefault="00ED7A0E" w:rsidP="00CF4CAC">
            <w:pPr>
              <w:spacing w:after="0" w:line="360" w:lineRule="atLeast"/>
              <w:rPr>
                <w:rFonts w:asciiTheme="majorBidi" w:eastAsia="Times New Roman" w:hAnsiTheme="majorBidi" w:cstheme="majorBidi"/>
                <w:vanish/>
                <w:sz w:val="32"/>
                <w:szCs w:val="32"/>
              </w:rPr>
            </w:pPr>
          </w:p>
          <w:tbl>
            <w:tblPr>
              <w:tblW w:w="5000" w:type="pct"/>
              <w:tblCellSpacing w:w="15" w:type="dxa"/>
              <w:tblCellMar>
                <w:top w:w="15" w:type="dxa"/>
                <w:left w:w="15" w:type="dxa"/>
                <w:bottom w:w="15" w:type="dxa"/>
                <w:right w:w="15" w:type="dxa"/>
              </w:tblCellMar>
              <w:tblLook w:val="04A0"/>
            </w:tblPr>
            <w:tblGrid>
              <w:gridCol w:w="8525"/>
            </w:tblGrid>
            <w:tr w:rsidR="00ED7A0E" w:rsidRPr="003C0DCF" w:rsidTr="00CF4CAC">
              <w:trPr>
                <w:tblCellSpacing w:w="15" w:type="dxa"/>
              </w:trPr>
              <w:tc>
                <w:tcPr>
                  <w:tcW w:w="0" w:type="auto"/>
                  <w:tcMar>
                    <w:top w:w="15" w:type="dxa"/>
                    <w:left w:w="225" w:type="dxa"/>
                    <w:bottom w:w="15" w:type="dxa"/>
                    <w:right w:w="15" w:type="dxa"/>
                  </w:tcMar>
                  <w:vAlign w:val="center"/>
                  <w:hideMark/>
                </w:tcPr>
                <w:p w:rsidR="00ED7A0E" w:rsidRDefault="00ED7A0E" w:rsidP="00CF4CAC">
                  <w:pPr>
                    <w:spacing w:after="0" w:line="360" w:lineRule="atLeast"/>
                    <w:rPr>
                      <w:rFonts w:asciiTheme="majorBidi" w:eastAsia="Times New Roman" w:hAnsiTheme="majorBidi" w:cstheme="majorBidi"/>
                      <w:sz w:val="32"/>
                      <w:szCs w:val="32"/>
                    </w:rPr>
                  </w:pPr>
                  <w:r>
                    <w:rPr>
                      <w:rFonts w:asciiTheme="majorBidi" w:eastAsia="Times New Roman" w:hAnsiTheme="majorBidi" w:cstheme="majorBidi"/>
                      <w:sz w:val="32"/>
                      <w:szCs w:val="32"/>
                    </w:rPr>
                    <w:t>2-</w:t>
                  </w:r>
                  <w:r w:rsidRPr="003C0DCF">
                    <w:rPr>
                      <w:rFonts w:asciiTheme="majorBidi" w:eastAsia="Times New Roman" w:hAnsiTheme="majorBidi" w:cstheme="majorBidi"/>
                      <w:sz w:val="32"/>
                      <w:szCs w:val="32"/>
                    </w:rPr>
                    <w:t>Animals at pasture might be moved to a clean, dry area, or possibly housed during periods of heavy rainfall.</w:t>
                  </w:r>
                </w:p>
                <w:p w:rsidR="00ED7A0E" w:rsidRPr="003C0DCF" w:rsidRDefault="00ED7A0E" w:rsidP="00CF4CAC">
                  <w:pPr>
                    <w:spacing w:after="0" w:line="360" w:lineRule="atLeast"/>
                    <w:rPr>
                      <w:rFonts w:asciiTheme="majorBidi" w:eastAsia="Times New Roman" w:hAnsiTheme="majorBidi" w:cstheme="majorBidi"/>
                      <w:sz w:val="32"/>
                      <w:szCs w:val="32"/>
                    </w:rPr>
                  </w:pPr>
                  <w:r>
                    <w:rPr>
                      <w:rFonts w:asciiTheme="majorBidi" w:eastAsia="Times New Roman" w:hAnsiTheme="majorBidi" w:cstheme="majorBidi"/>
                      <w:sz w:val="32"/>
                      <w:szCs w:val="32"/>
                    </w:rPr>
                    <w:t>3-</w:t>
                  </w:r>
                  <w:r w:rsidRPr="003C0DCF">
                    <w:rPr>
                      <w:rFonts w:asciiTheme="majorBidi" w:eastAsia="Times New Roman" w:hAnsiTheme="majorBidi" w:cstheme="majorBidi"/>
                      <w:sz w:val="32"/>
                      <w:szCs w:val="32"/>
                    </w:rPr>
                    <w:t xml:space="preserve"> Contaminated concrete must be frequently cleaned and scraped free of manure.</w:t>
                  </w:r>
                </w:p>
              </w:tc>
            </w:tr>
          </w:tbl>
          <w:p w:rsidR="00ED7A0E" w:rsidRPr="003C0DCF" w:rsidRDefault="00ED7A0E" w:rsidP="00CF4CAC">
            <w:pPr>
              <w:spacing w:after="0" w:line="360" w:lineRule="atLeast"/>
              <w:rPr>
                <w:rFonts w:asciiTheme="majorBidi" w:eastAsia="Times New Roman" w:hAnsiTheme="majorBidi" w:cstheme="majorBidi"/>
                <w:vanish/>
                <w:sz w:val="32"/>
                <w:szCs w:val="32"/>
              </w:rPr>
            </w:pPr>
          </w:p>
          <w:tbl>
            <w:tblPr>
              <w:tblW w:w="5000" w:type="pct"/>
              <w:tblCellSpacing w:w="15" w:type="dxa"/>
              <w:tblCellMar>
                <w:top w:w="15" w:type="dxa"/>
                <w:left w:w="15" w:type="dxa"/>
                <w:bottom w:w="15" w:type="dxa"/>
                <w:right w:w="15" w:type="dxa"/>
              </w:tblCellMar>
              <w:tblLook w:val="04A0"/>
            </w:tblPr>
            <w:tblGrid>
              <w:gridCol w:w="8525"/>
            </w:tblGrid>
            <w:tr w:rsidR="00ED7A0E" w:rsidRPr="003C0DCF" w:rsidTr="00CF4CAC">
              <w:trPr>
                <w:tblCellSpacing w:w="15" w:type="dxa"/>
              </w:trPr>
              <w:tc>
                <w:tcPr>
                  <w:tcW w:w="0" w:type="auto"/>
                  <w:tcMar>
                    <w:top w:w="15" w:type="dxa"/>
                    <w:left w:w="225" w:type="dxa"/>
                    <w:bottom w:w="15" w:type="dxa"/>
                    <w:right w:w="15" w:type="dxa"/>
                  </w:tcMar>
                  <w:vAlign w:val="center"/>
                  <w:hideMark/>
                </w:tcPr>
                <w:p w:rsidR="00ED7A0E" w:rsidRPr="003C0DCF" w:rsidRDefault="00ED7A0E" w:rsidP="00CF4CAC">
                  <w:pPr>
                    <w:spacing w:after="0" w:line="360" w:lineRule="atLeast"/>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4- </w:t>
                  </w:r>
                  <w:r w:rsidRPr="003C0DCF">
                    <w:rPr>
                      <w:rFonts w:asciiTheme="majorBidi" w:eastAsia="Times New Roman" w:hAnsiTheme="majorBidi" w:cstheme="majorBidi"/>
                      <w:sz w:val="32"/>
                      <w:szCs w:val="32"/>
                    </w:rPr>
                    <w:t>Preventive use of a footbath with an antiseptic and astringent solution (eg, copper or zinc sulfate [7-10% in water]) has given beneficial results. Formaldehyde solution (3-5% in water) can also be used, but in some areas it is considered to be an environmental hazard if discharged into natural waterways.</w:t>
                  </w:r>
                </w:p>
              </w:tc>
            </w:tr>
          </w:tbl>
          <w:p w:rsidR="00ED7A0E" w:rsidRPr="0046287B" w:rsidRDefault="00ED7A0E" w:rsidP="00CF4CAC">
            <w:pPr>
              <w:spacing w:after="0" w:line="360" w:lineRule="atLeast"/>
              <w:rPr>
                <w:rFonts w:asciiTheme="majorBidi" w:eastAsia="Times New Roman" w:hAnsiTheme="majorBidi" w:cstheme="majorBidi"/>
                <w:vanish/>
                <w:sz w:val="28"/>
                <w:szCs w:val="28"/>
              </w:rPr>
            </w:pPr>
          </w:p>
          <w:tbl>
            <w:tblPr>
              <w:tblW w:w="5000" w:type="pct"/>
              <w:tblCellSpacing w:w="15" w:type="dxa"/>
              <w:tblCellMar>
                <w:top w:w="15" w:type="dxa"/>
                <w:left w:w="15" w:type="dxa"/>
                <w:bottom w:w="15" w:type="dxa"/>
                <w:right w:w="15" w:type="dxa"/>
              </w:tblCellMar>
              <w:tblLook w:val="04A0"/>
            </w:tblPr>
            <w:tblGrid>
              <w:gridCol w:w="8525"/>
            </w:tblGrid>
            <w:tr w:rsidR="00ED7A0E" w:rsidRPr="0046287B" w:rsidTr="00CF4CAC">
              <w:trPr>
                <w:tblCellSpacing w:w="15" w:type="dxa"/>
              </w:trPr>
              <w:tc>
                <w:tcPr>
                  <w:tcW w:w="0" w:type="auto"/>
                  <w:tcMar>
                    <w:top w:w="15" w:type="dxa"/>
                    <w:left w:w="225" w:type="dxa"/>
                    <w:bottom w:w="15" w:type="dxa"/>
                    <w:right w:w="15" w:type="dxa"/>
                  </w:tcMar>
                  <w:vAlign w:val="center"/>
                  <w:hideMark/>
                </w:tcPr>
                <w:p w:rsidR="00ED7A0E" w:rsidRDefault="00ED7A0E" w:rsidP="00CF4CAC">
                  <w:pPr>
                    <w:spacing w:after="0" w:line="360" w:lineRule="atLeast"/>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5- </w:t>
                  </w:r>
                  <w:r w:rsidRPr="003C0DCF">
                    <w:rPr>
                      <w:rFonts w:asciiTheme="majorBidi" w:eastAsia="Times New Roman" w:hAnsiTheme="majorBidi" w:cstheme="majorBidi"/>
                      <w:sz w:val="32"/>
                      <w:szCs w:val="32"/>
                    </w:rPr>
                    <w:t>Vaccines against </w:t>
                  </w:r>
                  <w:r w:rsidRPr="003C0DCF">
                    <w:rPr>
                      <w:rFonts w:asciiTheme="majorBidi" w:eastAsia="Times New Roman" w:hAnsiTheme="majorBidi" w:cstheme="majorBidi"/>
                      <w:i/>
                      <w:iCs/>
                      <w:sz w:val="32"/>
                      <w:szCs w:val="32"/>
                    </w:rPr>
                    <w:t>F</w:t>
                  </w:r>
                  <w:r w:rsidRPr="003C0DCF">
                    <w:rPr>
                      <w:rFonts w:asciiTheme="majorBidi" w:eastAsia="Times New Roman" w:hAnsiTheme="majorBidi" w:cstheme="majorBidi"/>
                      <w:sz w:val="32"/>
                      <w:szCs w:val="32"/>
                    </w:rPr>
                    <w:t> </w:t>
                  </w:r>
                  <w:r w:rsidRPr="003C0DCF">
                    <w:rPr>
                      <w:rFonts w:asciiTheme="majorBidi" w:eastAsia="Times New Roman" w:hAnsiTheme="majorBidi" w:cstheme="majorBidi"/>
                      <w:i/>
                      <w:iCs/>
                      <w:sz w:val="32"/>
                      <w:szCs w:val="32"/>
                    </w:rPr>
                    <w:t>necrophorum</w:t>
                  </w:r>
                  <w:r w:rsidRPr="003C0DCF">
                    <w:rPr>
                      <w:rFonts w:asciiTheme="majorBidi" w:eastAsia="Times New Roman" w:hAnsiTheme="majorBidi" w:cstheme="majorBidi"/>
                      <w:sz w:val="32"/>
                      <w:szCs w:val="32"/>
                    </w:rPr>
                    <w:t xml:space="preserve"> have failed because of the weak immune response to the bacterium. </w:t>
                  </w:r>
                </w:p>
                <w:p w:rsidR="00ED7A0E" w:rsidRPr="003C0DCF" w:rsidRDefault="00ED7A0E" w:rsidP="00CF4CAC">
                  <w:pPr>
                    <w:spacing w:after="0" w:line="360" w:lineRule="atLeast"/>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6- </w:t>
                  </w:r>
                  <w:r w:rsidRPr="003C0DCF">
                    <w:rPr>
                      <w:rFonts w:asciiTheme="majorBidi" w:eastAsia="Times New Roman" w:hAnsiTheme="majorBidi" w:cstheme="majorBidi"/>
                      <w:sz w:val="32"/>
                      <w:szCs w:val="32"/>
                    </w:rPr>
                    <w:t>High levels of zinc fed as a supplement have a beneficial effect by improving epidermal resistance to bacterial invaders.</w:t>
                  </w:r>
                </w:p>
              </w:tc>
            </w:tr>
          </w:tbl>
          <w:p w:rsidR="00ED7A0E" w:rsidRPr="0046287B" w:rsidRDefault="00ED7A0E" w:rsidP="00CF4CAC">
            <w:pPr>
              <w:spacing w:after="0" w:line="360" w:lineRule="atLeast"/>
              <w:rPr>
                <w:rFonts w:asciiTheme="majorBidi" w:eastAsia="Times New Roman" w:hAnsiTheme="majorBidi" w:cstheme="majorBidi"/>
                <w:sz w:val="28"/>
                <w:szCs w:val="28"/>
              </w:rPr>
            </w:pPr>
          </w:p>
        </w:tc>
        <w:tc>
          <w:tcPr>
            <w:tcW w:w="0" w:type="auto"/>
            <w:vAlign w:val="bottom"/>
            <w:hideMark/>
          </w:tcPr>
          <w:p w:rsidR="00ED7A0E" w:rsidRPr="0046287B" w:rsidRDefault="00ED7A0E" w:rsidP="00CF4CAC">
            <w:pPr>
              <w:spacing w:after="0" w:line="360" w:lineRule="atLeast"/>
              <w:rPr>
                <w:rFonts w:asciiTheme="majorBidi" w:eastAsia="Times New Roman" w:hAnsiTheme="majorBidi" w:cstheme="majorBidi"/>
                <w:sz w:val="28"/>
                <w:szCs w:val="28"/>
              </w:rPr>
            </w:pPr>
          </w:p>
        </w:tc>
      </w:tr>
    </w:tbl>
    <w:p w:rsidR="00ED7A0E" w:rsidRPr="0046287B" w:rsidRDefault="00ED7A0E" w:rsidP="00ED7A0E">
      <w:pPr>
        <w:spacing w:after="0" w:line="240" w:lineRule="auto"/>
        <w:rPr>
          <w:rFonts w:asciiTheme="majorBidi" w:eastAsia="Times New Roman" w:hAnsiTheme="majorBidi" w:cstheme="majorBidi"/>
          <w:vanish/>
          <w:color w:val="000000"/>
          <w:sz w:val="28"/>
          <w:szCs w:val="28"/>
        </w:rPr>
      </w:pPr>
    </w:p>
    <w:tbl>
      <w:tblPr>
        <w:tblW w:w="5000" w:type="pct"/>
        <w:tblCellSpacing w:w="15" w:type="dxa"/>
        <w:tblCellMar>
          <w:top w:w="75" w:type="dxa"/>
          <w:left w:w="75" w:type="dxa"/>
          <w:bottom w:w="75" w:type="dxa"/>
          <w:right w:w="75" w:type="dxa"/>
        </w:tblCellMar>
        <w:tblLook w:val="04A0"/>
      </w:tblPr>
      <w:tblGrid>
        <w:gridCol w:w="8516"/>
      </w:tblGrid>
      <w:tr w:rsidR="00ED7A0E" w:rsidRPr="0046287B" w:rsidTr="00CF4CAC">
        <w:trPr>
          <w:trHeight w:val="75"/>
          <w:tblCellSpacing w:w="15" w:type="dxa"/>
        </w:trPr>
        <w:tc>
          <w:tcPr>
            <w:tcW w:w="0" w:type="auto"/>
            <w:vAlign w:val="center"/>
            <w:hideMark/>
          </w:tcPr>
          <w:p w:rsidR="00ED7A0E" w:rsidRPr="0046287B" w:rsidRDefault="00ED7A0E" w:rsidP="00CF4CAC">
            <w:pPr>
              <w:spacing w:after="0" w:line="75" w:lineRule="atLeast"/>
              <w:rPr>
                <w:rFonts w:asciiTheme="majorBidi" w:eastAsia="Times New Roman" w:hAnsiTheme="majorBidi" w:cstheme="majorBidi"/>
                <w:sz w:val="28"/>
                <w:szCs w:val="28"/>
              </w:rPr>
            </w:pPr>
            <w:r w:rsidRPr="0046287B">
              <w:rPr>
                <w:rFonts w:asciiTheme="majorBidi" w:eastAsia="Times New Roman" w:hAnsiTheme="majorBidi" w:cstheme="majorBidi"/>
                <w:noProof/>
                <w:sz w:val="28"/>
                <w:szCs w:val="28"/>
              </w:rPr>
              <w:drawing>
                <wp:inline distT="0" distB="0" distL="0" distR="0">
                  <wp:extent cx="952500" cy="47625"/>
                  <wp:effectExtent l="0" t="0" r="0" b="0"/>
                  <wp:docPr id="76" name="Picture 76" descr="http://a248.e.akamai.net/7/248/430/20050616201425/www.merckvetmanual.com/mvm/img/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a248.e.akamai.net/7/248/430/20050616201425/www.merckvetmanual.com/mvm/img/shim.gif"/>
                          <pic:cNvPicPr>
                            <a:picLocks noChangeAspect="1" noChangeArrowheads="1"/>
                          </pic:cNvPicPr>
                        </pic:nvPicPr>
                        <pic:blipFill>
                          <a:blip r:embed="rId7"/>
                          <a:srcRect/>
                          <a:stretch>
                            <a:fillRect/>
                          </a:stretch>
                        </pic:blipFill>
                        <pic:spPr bwMode="auto">
                          <a:xfrm>
                            <a:off x="0" y="0"/>
                            <a:ext cx="952500" cy="47625"/>
                          </a:xfrm>
                          <a:prstGeom prst="rect">
                            <a:avLst/>
                          </a:prstGeom>
                          <a:noFill/>
                          <a:ln w="9525">
                            <a:noFill/>
                            <a:miter lim="800000"/>
                            <a:headEnd/>
                            <a:tailEnd/>
                          </a:ln>
                        </pic:spPr>
                      </pic:pic>
                    </a:graphicData>
                  </a:graphic>
                </wp:inline>
              </w:drawing>
            </w:r>
          </w:p>
        </w:tc>
      </w:tr>
    </w:tbl>
    <w:p w:rsidR="003C0001" w:rsidRDefault="003C0001" w:rsidP="00ED7A0E">
      <w:pPr>
        <w:jc w:val="right"/>
        <w:rPr>
          <w:lang w:bidi="ar-IQ"/>
        </w:rPr>
      </w:pPr>
    </w:p>
    <w:sectPr w:rsidR="003C0001" w:rsidSect="008C691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578" w:rsidRDefault="00DD0578" w:rsidP="00ED7A0E">
      <w:pPr>
        <w:spacing w:after="0" w:line="240" w:lineRule="auto"/>
      </w:pPr>
      <w:r>
        <w:separator/>
      </w:r>
    </w:p>
  </w:endnote>
  <w:endnote w:type="continuationSeparator" w:id="1">
    <w:p w:rsidR="00DD0578" w:rsidRDefault="00DD0578" w:rsidP="00ED7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d1007370-Identity-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3626"/>
      <w:docPartObj>
        <w:docPartGallery w:val="Page Numbers (Bottom of Page)"/>
        <w:docPartUnique/>
      </w:docPartObj>
    </w:sdtPr>
    <w:sdtContent>
      <w:p w:rsidR="00ED7A0E" w:rsidRDefault="00C71AAA">
        <w:pPr>
          <w:pStyle w:val="Footer"/>
        </w:pPr>
        <w:r>
          <w:rPr>
            <w:noProof/>
            <w:lang w:eastAsia="zh-TW"/>
          </w:rPr>
          <w:pict>
            <v:group id="_x0000_s102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6" type="#_x0000_t202" style="position:absolute;left:10803;top:14982;width:659;height:288" filled="f" stroked="f">
                <v:textbox style="mso-next-textbox:#_x0000_s1026" inset="0,0,0,0">
                  <w:txbxContent>
                    <w:p w:rsidR="00ED7A0E" w:rsidRDefault="00C71AAA">
                      <w:pPr>
                        <w:jc w:val="center"/>
                      </w:pPr>
                      <w:fldSimple w:instr=" PAGE    \* MERGEFORMAT ">
                        <w:r w:rsidR="006B4916" w:rsidRPr="006B4916">
                          <w:rPr>
                            <w:noProof/>
                            <w:color w:val="8C8C8C" w:themeColor="background1" w:themeShade="8C"/>
                          </w:rPr>
                          <w:t>4</w:t>
                        </w:r>
                      </w:fldSimple>
                    </w:p>
                  </w:txbxContent>
                </v:textbox>
              </v:shape>
              <v:group id="_x0000_s102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8;top:14978;width:1260;height:230;flip:y" o:connectortype="elbow" adj=",1024457,257" strokecolor="#a5a5a5 [2092]"/>
                <v:shape id="_x0000_s102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578" w:rsidRDefault="00DD0578" w:rsidP="00ED7A0E">
      <w:pPr>
        <w:spacing w:after="0" w:line="240" w:lineRule="auto"/>
      </w:pPr>
      <w:r>
        <w:separator/>
      </w:r>
    </w:p>
  </w:footnote>
  <w:footnote w:type="continuationSeparator" w:id="1">
    <w:p w:rsidR="00DD0578" w:rsidRDefault="00DD0578" w:rsidP="00ED7A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A0E" w:rsidRDefault="00ED7A0E" w:rsidP="00ED7A0E">
    <w:pPr>
      <w:pStyle w:val="Header"/>
      <w:rPr>
        <w:lang w:bidi="ar-IQ"/>
      </w:rPr>
    </w:pPr>
    <w:r>
      <w:rPr>
        <w:lang w:bidi="ar-IQ"/>
      </w:rPr>
      <w:t>4</w:t>
    </w:r>
    <w:r w:rsidRPr="006913A5">
      <w:rPr>
        <w:vertAlign w:val="superscript"/>
        <w:lang w:bidi="ar-IQ"/>
      </w:rPr>
      <w:t>th</w:t>
    </w:r>
    <w:r>
      <w:rPr>
        <w:lang w:bidi="ar-IQ"/>
      </w:rPr>
      <w:t xml:space="preserve"> stage                                         Infectious diseases                        ASS. Lect.  Ahmed  AL-Zuhairi</w:t>
    </w:r>
    <w:r>
      <w:rPr>
        <w:rFonts w:hint="cs"/>
        <w:rtl/>
        <w:lang w:bidi="ar-IQ"/>
      </w:rPr>
      <w:t xml:space="preserve">     </w:t>
    </w:r>
  </w:p>
  <w:p w:rsidR="00ED7A0E" w:rsidRDefault="00ED7A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65FFE"/>
    <w:multiLevelType w:val="hybridMultilevel"/>
    <w:tmpl w:val="7AAC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986CB3"/>
    <w:multiLevelType w:val="hybridMultilevel"/>
    <w:tmpl w:val="457E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170"/>
    <o:shapelayout v:ext="edit">
      <o:idmap v:ext="edit" data="1"/>
      <o:rules v:ext="edit">
        <o:r id="V:Rule3" type="connector" idref="#_x0000_s1028"/>
        <o:r id="V:Rule4" type="connector" idref="#_x0000_s1029"/>
      </o:rules>
    </o:shapelayout>
  </w:hdrShapeDefaults>
  <w:footnotePr>
    <w:footnote w:id="0"/>
    <w:footnote w:id="1"/>
  </w:footnotePr>
  <w:endnotePr>
    <w:endnote w:id="0"/>
    <w:endnote w:id="1"/>
  </w:endnotePr>
  <w:compat/>
  <w:rsids>
    <w:rsidRoot w:val="00ED7A0E"/>
    <w:rsid w:val="00000B98"/>
    <w:rsid w:val="000038DD"/>
    <w:rsid w:val="0001737D"/>
    <w:rsid w:val="0002229E"/>
    <w:rsid w:val="00023312"/>
    <w:rsid w:val="000413FC"/>
    <w:rsid w:val="00045B3E"/>
    <w:rsid w:val="00047140"/>
    <w:rsid w:val="00050B42"/>
    <w:rsid w:val="00056ADF"/>
    <w:rsid w:val="00060B86"/>
    <w:rsid w:val="000777BD"/>
    <w:rsid w:val="000B5FE3"/>
    <w:rsid w:val="000B6A96"/>
    <w:rsid w:val="000C55C6"/>
    <w:rsid w:val="000C7CBE"/>
    <w:rsid w:val="000D0899"/>
    <w:rsid w:val="000D0CBA"/>
    <w:rsid w:val="000D1780"/>
    <w:rsid w:val="000E4E76"/>
    <w:rsid w:val="000E526E"/>
    <w:rsid w:val="000E70FA"/>
    <w:rsid w:val="000F0C5F"/>
    <w:rsid w:val="000F206D"/>
    <w:rsid w:val="000F434B"/>
    <w:rsid w:val="000F667F"/>
    <w:rsid w:val="00103805"/>
    <w:rsid w:val="00110B7F"/>
    <w:rsid w:val="0012214F"/>
    <w:rsid w:val="001227DC"/>
    <w:rsid w:val="0012322C"/>
    <w:rsid w:val="00125AEE"/>
    <w:rsid w:val="0012693E"/>
    <w:rsid w:val="00137918"/>
    <w:rsid w:val="00152763"/>
    <w:rsid w:val="001569A9"/>
    <w:rsid w:val="0016108F"/>
    <w:rsid w:val="0016762B"/>
    <w:rsid w:val="00167E1B"/>
    <w:rsid w:val="00176022"/>
    <w:rsid w:val="00193297"/>
    <w:rsid w:val="001943CE"/>
    <w:rsid w:val="0019474E"/>
    <w:rsid w:val="00194ACD"/>
    <w:rsid w:val="00195063"/>
    <w:rsid w:val="00197A10"/>
    <w:rsid w:val="001A1492"/>
    <w:rsid w:val="001A52C0"/>
    <w:rsid w:val="001A7A21"/>
    <w:rsid w:val="001B4D00"/>
    <w:rsid w:val="001C03D8"/>
    <w:rsid w:val="001C0406"/>
    <w:rsid w:val="001C0436"/>
    <w:rsid w:val="001D2C99"/>
    <w:rsid w:val="001D3107"/>
    <w:rsid w:val="001D7DA9"/>
    <w:rsid w:val="001E0236"/>
    <w:rsid w:val="001E7A45"/>
    <w:rsid w:val="001E7CE6"/>
    <w:rsid w:val="001F3AC7"/>
    <w:rsid w:val="001F3FBE"/>
    <w:rsid w:val="001F49D0"/>
    <w:rsid w:val="001F7F4B"/>
    <w:rsid w:val="001F7F92"/>
    <w:rsid w:val="002023D7"/>
    <w:rsid w:val="002049C7"/>
    <w:rsid w:val="00210EF5"/>
    <w:rsid w:val="00237865"/>
    <w:rsid w:val="002412AE"/>
    <w:rsid w:val="0024171B"/>
    <w:rsid w:val="00247744"/>
    <w:rsid w:val="00253324"/>
    <w:rsid w:val="00256B6E"/>
    <w:rsid w:val="00265615"/>
    <w:rsid w:val="002669F9"/>
    <w:rsid w:val="0028633B"/>
    <w:rsid w:val="00287230"/>
    <w:rsid w:val="00287B4C"/>
    <w:rsid w:val="002A18D5"/>
    <w:rsid w:val="002B31AC"/>
    <w:rsid w:val="002B6943"/>
    <w:rsid w:val="002C0F54"/>
    <w:rsid w:val="002C5E86"/>
    <w:rsid w:val="002C7E7D"/>
    <w:rsid w:val="002D1804"/>
    <w:rsid w:val="002E238E"/>
    <w:rsid w:val="002F15F2"/>
    <w:rsid w:val="002F5B36"/>
    <w:rsid w:val="002F6343"/>
    <w:rsid w:val="002F6B1D"/>
    <w:rsid w:val="003024D3"/>
    <w:rsid w:val="00303188"/>
    <w:rsid w:val="00317E5B"/>
    <w:rsid w:val="003225DB"/>
    <w:rsid w:val="00324811"/>
    <w:rsid w:val="00325701"/>
    <w:rsid w:val="00327BC2"/>
    <w:rsid w:val="003364C7"/>
    <w:rsid w:val="0034685A"/>
    <w:rsid w:val="003470CC"/>
    <w:rsid w:val="00363761"/>
    <w:rsid w:val="00367914"/>
    <w:rsid w:val="003712CC"/>
    <w:rsid w:val="00371EAC"/>
    <w:rsid w:val="0038037F"/>
    <w:rsid w:val="00382C4D"/>
    <w:rsid w:val="003A24A3"/>
    <w:rsid w:val="003A2F30"/>
    <w:rsid w:val="003B2954"/>
    <w:rsid w:val="003B2FB0"/>
    <w:rsid w:val="003B60D8"/>
    <w:rsid w:val="003C0001"/>
    <w:rsid w:val="003C128F"/>
    <w:rsid w:val="003C1A2C"/>
    <w:rsid w:val="003C2734"/>
    <w:rsid w:val="003D69CF"/>
    <w:rsid w:val="003D6EEA"/>
    <w:rsid w:val="003E0B63"/>
    <w:rsid w:val="003E6A2D"/>
    <w:rsid w:val="003E7802"/>
    <w:rsid w:val="003F20DE"/>
    <w:rsid w:val="00402D04"/>
    <w:rsid w:val="004053A1"/>
    <w:rsid w:val="0041380A"/>
    <w:rsid w:val="004210C4"/>
    <w:rsid w:val="00427494"/>
    <w:rsid w:val="00431287"/>
    <w:rsid w:val="0043514C"/>
    <w:rsid w:val="004437AC"/>
    <w:rsid w:val="00444B3C"/>
    <w:rsid w:val="00456D2E"/>
    <w:rsid w:val="004659B5"/>
    <w:rsid w:val="004705EE"/>
    <w:rsid w:val="004726C0"/>
    <w:rsid w:val="00485F62"/>
    <w:rsid w:val="00495A85"/>
    <w:rsid w:val="004A2913"/>
    <w:rsid w:val="004A3840"/>
    <w:rsid w:val="004B24A7"/>
    <w:rsid w:val="004D1C10"/>
    <w:rsid w:val="004D2954"/>
    <w:rsid w:val="004F75D0"/>
    <w:rsid w:val="00503EB8"/>
    <w:rsid w:val="00510F69"/>
    <w:rsid w:val="00514506"/>
    <w:rsid w:val="00514C96"/>
    <w:rsid w:val="00526A92"/>
    <w:rsid w:val="00533CB1"/>
    <w:rsid w:val="0054602B"/>
    <w:rsid w:val="005604A4"/>
    <w:rsid w:val="0057467F"/>
    <w:rsid w:val="00574A38"/>
    <w:rsid w:val="0057620F"/>
    <w:rsid w:val="00592978"/>
    <w:rsid w:val="005A0F88"/>
    <w:rsid w:val="005B235E"/>
    <w:rsid w:val="005B7A1F"/>
    <w:rsid w:val="005C0AFD"/>
    <w:rsid w:val="005C1AFB"/>
    <w:rsid w:val="005C1C24"/>
    <w:rsid w:val="005C406B"/>
    <w:rsid w:val="005C423C"/>
    <w:rsid w:val="005C7CBF"/>
    <w:rsid w:val="005C7E2C"/>
    <w:rsid w:val="005D470F"/>
    <w:rsid w:val="005E7B3E"/>
    <w:rsid w:val="005F2288"/>
    <w:rsid w:val="005F68A5"/>
    <w:rsid w:val="005F7127"/>
    <w:rsid w:val="00606AEC"/>
    <w:rsid w:val="00610463"/>
    <w:rsid w:val="0061232C"/>
    <w:rsid w:val="006131CB"/>
    <w:rsid w:val="00614E54"/>
    <w:rsid w:val="006176DF"/>
    <w:rsid w:val="0062028A"/>
    <w:rsid w:val="006304EF"/>
    <w:rsid w:val="00636E0E"/>
    <w:rsid w:val="0064076E"/>
    <w:rsid w:val="00654781"/>
    <w:rsid w:val="00655A0A"/>
    <w:rsid w:val="00655F93"/>
    <w:rsid w:val="00657395"/>
    <w:rsid w:val="00657C24"/>
    <w:rsid w:val="00675221"/>
    <w:rsid w:val="00677014"/>
    <w:rsid w:val="00680DA7"/>
    <w:rsid w:val="00684ADD"/>
    <w:rsid w:val="00691237"/>
    <w:rsid w:val="006978AB"/>
    <w:rsid w:val="006A1A81"/>
    <w:rsid w:val="006A4B9D"/>
    <w:rsid w:val="006B162D"/>
    <w:rsid w:val="006B4916"/>
    <w:rsid w:val="006B728F"/>
    <w:rsid w:val="006C1B48"/>
    <w:rsid w:val="006C2CA0"/>
    <w:rsid w:val="006C3277"/>
    <w:rsid w:val="006C437D"/>
    <w:rsid w:val="006C4BEE"/>
    <w:rsid w:val="006C6AD4"/>
    <w:rsid w:val="006D1F63"/>
    <w:rsid w:val="006D6C52"/>
    <w:rsid w:val="006D7270"/>
    <w:rsid w:val="006E228C"/>
    <w:rsid w:val="006F6A7F"/>
    <w:rsid w:val="00701D23"/>
    <w:rsid w:val="007031F4"/>
    <w:rsid w:val="00721BF2"/>
    <w:rsid w:val="00724521"/>
    <w:rsid w:val="00730C21"/>
    <w:rsid w:val="00732AA7"/>
    <w:rsid w:val="00743B1E"/>
    <w:rsid w:val="007462A1"/>
    <w:rsid w:val="00750B25"/>
    <w:rsid w:val="00752E09"/>
    <w:rsid w:val="00762E7E"/>
    <w:rsid w:val="0076622B"/>
    <w:rsid w:val="007836A2"/>
    <w:rsid w:val="007847AA"/>
    <w:rsid w:val="00795598"/>
    <w:rsid w:val="007961AB"/>
    <w:rsid w:val="007A0C48"/>
    <w:rsid w:val="007B0AAA"/>
    <w:rsid w:val="007B3793"/>
    <w:rsid w:val="007C35EA"/>
    <w:rsid w:val="007C7FE1"/>
    <w:rsid w:val="007D6F13"/>
    <w:rsid w:val="007E4238"/>
    <w:rsid w:val="007E5E5B"/>
    <w:rsid w:val="007F3197"/>
    <w:rsid w:val="007F7794"/>
    <w:rsid w:val="00803987"/>
    <w:rsid w:val="00805DD3"/>
    <w:rsid w:val="00807107"/>
    <w:rsid w:val="00813FD8"/>
    <w:rsid w:val="00830E1C"/>
    <w:rsid w:val="00833478"/>
    <w:rsid w:val="00847ECD"/>
    <w:rsid w:val="0085609B"/>
    <w:rsid w:val="0085641D"/>
    <w:rsid w:val="008609DE"/>
    <w:rsid w:val="00876458"/>
    <w:rsid w:val="00892375"/>
    <w:rsid w:val="008943DE"/>
    <w:rsid w:val="00897D81"/>
    <w:rsid w:val="008A1451"/>
    <w:rsid w:val="008A2A21"/>
    <w:rsid w:val="008A7705"/>
    <w:rsid w:val="008A77A3"/>
    <w:rsid w:val="008B02DB"/>
    <w:rsid w:val="008B64EC"/>
    <w:rsid w:val="008B7E44"/>
    <w:rsid w:val="008C2718"/>
    <w:rsid w:val="008C6919"/>
    <w:rsid w:val="008D4054"/>
    <w:rsid w:val="008D6749"/>
    <w:rsid w:val="008D6F28"/>
    <w:rsid w:val="008E02DC"/>
    <w:rsid w:val="008E0376"/>
    <w:rsid w:val="008E3E84"/>
    <w:rsid w:val="008F612A"/>
    <w:rsid w:val="009015FB"/>
    <w:rsid w:val="00904B7E"/>
    <w:rsid w:val="00920B38"/>
    <w:rsid w:val="0092257C"/>
    <w:rsid w:val="009275A8"/>
    <w:rsid w:val="00945485"/>
    <w:rsid w:val="0095217B"/>
    <w:rsid w:val="00966C43"/>
    <w:rsid w:val="00971E5A"/>
    <w:rsid w:val="009723BC"/>
    <w:rsid w:val="00994067"/>
    <w:rsid w:val="009A6293"/>
    <w:rsid w:val="009A676C"/>
    <w:rsid w:val="009A6C4F"/>
    <w:rsid w:val="009B0F98"/>
    <w:rsid w:val="009B5483"/>
    <w:rsid w:val="009B632A"/>
    <w:rsid w:val="009C1A84"/>
    <w:rsid w:val="009D1028"/>
    <w:rsid w:val="009D7826"/>
    <w:rsid w:val="009E3BB6"/>
    <w:rsid w:val="009E7857"/>
    <w:rsid w:val="009E7B35"/>
    <w:rsid w:val="009E7DA0"/>
    <w:rsid w:val="009F70DC"/>
    <w:rsid w:val="00A04A9A"/>
    <w:rsid w:val="00A31432"/>
    <w:rsid w:val="00A34A7A"/>
    <w:rsid w:val="00A34DA9"/>
    <w:rsid w:val="00A42120"/>
    <w:rsid w:val="00A4621D"/>
    <w:rsid w:val="00A6467D"/>
    <w:rsid w:val="00A744DD"/>
    <w:rsid w:val="00A81138"/>
    <w:rsid w:val="00A84EF6"/>
    <w:rsid w:val="00A87D27"/>
    <w:rsid w:val="00A9141D"/>
    <w:rsid w:val="00A91B9F"/>
    <w:rsid w:val="00A94CDC"/>
    <w:rsid w:val="00AA111A"/>
    <w:rsid w:val="00AA5AA4"/>
    <w:rsid w:val="00AB0F5E"/>
    <w:rsid w:val="00AC409B"/>
    <w:rsid w:val="00AD7DBC"/>
    <w:rsid w:val="00AE10ED"/>
    <w:rsid w:val="00AF415F"/>
    <w:rsid w:val="00AF44C0"/>
    <w:rsid w:val="00AF6B54"/>
    <w:rsid w:val="00AF700B"/>
    <w:rsid w:val="00AF7CD5"/>
    <w:rsid w:val="00B00F69"/>
    <w:rsid w:val="00B0348F"/>
    <w:rsid w:val="00B03CDB"/>
    <w:rsid w:val="00B111B5"/>
    <w:rsid w:val="00B15A62"/>
    <w:rsid w:val="00B21EC9"/>
    <w:rsid w:val="00B23FAA"/>
    <w:rsid w:val="00B25070"/>
    <w:rsid w:val="00B2527E"/>
    <w:rsid w:val="00B3391C"/>
    <w:rsid w:val="00B3406A"/>
    <w:rsid w:val="00B3703C"/>
    <w:rsid w:val="00B4337E"/>
    <w:rsid w:val="00B53753"/>
    <w:rsid w:val="00B53F59"/>
    <w:rsid w:val="00B577A7"/>
    <w:rsid w:val="00B57D8F"/>
    <w:rsid w:val="00B60952"/>
    <w:rsid w:val="00B60D0B"/>
    <w:rsid w:val="00B6511B"/>
    <w:rsid w:val="00B76BAD"/>
    <w:rsid w:val="00B85124"/>
    <w:rsid w:val="00B979C8"/>
    <w:rsid w:val="00BA2AC9"/>
    <w:rsid w:val="00BA4B1D"/>
    <w:rsid w:val="00BB0100"/>
    <w:rsid w:val="00BC1019"/>
    <w:rsid w:val="00BC1E60"/>
    <w:rsid w:val="00BC2109"/>
    <w:rsid w:val="00BC2D9E"/>
    <w:rsid w:val="00BC6D0C"/>
    <w:rsid w:val="00BC746C"/>
    <w:rsid w:val="00BC7D2E"/>
    <w:rsid w:val="00BD1B2A"/>
    <w:rsid w:val="00BD6E86"/>
    <w:rsid w:val="00BE0D68"/>
    <w:rsid w:val="00BE3ABE"/>
    <w:rsid w:val="00BE4E06"/>
    <w:rsid w:val="00BF365E"/>
    <w:rsid w:val="00BF6CEC"/>
    <w:rsid w:val="00BF6E53"/>
    <w:rsid w:val="00C0243E"/>
    <w:rsid w:val="00C051CC"/>
    <w:rsid w:val="00C134B9"/>
    <w:rsid w:val="00C2014E"/>
    <w:rsid w:val="00C2453F"/>
    <w:rsid w:val="00C30191"/>
    <w:rsid w:val="00C47208"/>
    <w:rsid w:val="00C51578"/>
    <w:rsid w:val="00C569CE"/>
    <w:rsid w:val="00C65E88"/>
    <w:rsid w:val="00C664FF"/>
    <w:rsid w:val="00C66C19"/>
    <w:rsid w:val="00C71AAA"/>
    <w:rsid w:val="00C8276A"/>
    <w:rsid w:val="00C82FA3"/>
    <w:rsid w:val="00C85E3A"/>
    <w:rsid w:val="00C86A3E"/>
    <w:rsid w:val="00C92B9F"/>
    <w:rsid w:val="00C95D76"/>
    <w:rsid w:val="00CA64B0"/>
    <w:rsid w:val="00CC0839"/>
    <w:rsid w:val="00CD269A"/>
    <w:rsid w:val="00CE5388"/>
    <w:rsid w:val="00CE68A2"/>
    <w:rsid w:val="00D003DD"/>
    <w:rsid w:val="00D10826"/>
    <w:rsid w:val="00D125D4"/>
    <w:rsid w:val="00D33515"/>
    <w:rsid w:val="00D34941"/>
    <w:rsid w:val="00D37E3C"/>
    <w:rsid w:val="00D40B91"/>
    <w:rsid w:val="00D53C3F"/>
    <w:rsid w:val="00D66861"/>
    <w:rsid w:val="00D703A6"/>
    <w:rsid w:val="00D756FB"/>
    <w:rsid w:val="00D77AB8"/>
    <w:rsid w:val="00D9036E"/>
    <w:rsid w:val="00DA7A45"/>
    <w:rsid w:val="00DB2776"/>
    <w:rsid w:val="00DB6DC3"/>
    <w:rsid w:val="00DD0578"/>
    <w:rsid w:val="00DE0B75"/>
    <w:rsid w:val="00DE4DB4"/>
    <w:rsid w:val="00DE72C8"/>
    <w:rsid w:val="00DF48D6"/>
    <w:rsid w:val="00E02910"/>
    <w:rsid w:val="00E21554"/>
    <w:rsid w:val="00E22F9A"/>
    <w:rsid w:val="00E236DD"/>
    <w:rsid w:val="00E25715"/>
    <w:rsid w:val="00E27C86"/>
    <w:rsid w:val="00E404CF"/>
    <w:rsid w:val="00E445A4"/>
    <w:rsid w:val="00E518F4"/>
    <w:rsid w:val="00E64BB4"/>
    <w:rsid w:val="00E65417"/>
    <w:rsid w:val="00E66597"/>
    <w:rsid w:val="00E71DE8"/>
    <w:rsid w:val="00E804F5"/>
    <w:rsid w:val="00E81136"/>
    <w:rsid w:val="00E81F9A"/>
    <w:rsid w:val="00E870D7"/>
    <w:rsid w:val="00E96477"/>
    <w:rsid w:val="00EA010A"/>
    <w:rsid w:val="00EA181E"/>
    <w:rsid w:val="00EB3502"/>
    <w:rsid w:val="00EB4D8F"/>
    <w:rsid w:val="00EC1826"/>
    <w:rsid w:val="00EC7F3A"/>
    <w:rsid w:val="00ED5C53"/>
    <w:rsid w:val="00ED79E0"/>
    <w:rsid w:val="00ED7A0E"/>
    <w:rsid w:val="00EE4F5A"/>
    <w:rsid w:val="00EE5B5D"/>
    <w:rsid w:val="00EF3415"/>
    <w:rsid w:val="00EF3AD9"/>
    <w:rsid w:val="00EF54F2"/>
    <w:rsid w:val="00F03849"/>
    <w:rsid w:val="00F074FA"/>
    <w:rsid w:val="00F07B21"/>
    <w:rsid w:val="00F16302"/>
    <w:rsid w:val="00F1795D"/>
    <w:rsid w:val="00F2076B"/>
    <w:rsid w:val="00F22CCC"/>
    <w:rsid w:val="00F23054"/>
    <w:rsid w:val="00F23A71"/>
    <w:rsid w:val="00F33A11"/>
    <w:rsid w:val="00F33B20"/>
    <w:rsid w:val="00F36B75"/>
    <w:rsid w:val="00F435D5"/>
    <w:rsid w:val="00F509E1"/>
    <w:rsid w:val="00F52731"/>
    <w:rsid w:val="00F52A8C"/>
    <w:rsid w:val="00F576FD"/>
    <w:rsid w:val="00F60AFA"/>
    <w:rsid w:val="00F64369"/>
    <w:rsid w:val="00F6487A"/>
    <w:rsid w:val="00F66087"/>
    <w:rsid w:val="00F67015"/>
    <w:rsid w:val="00F70A60"/>
    <w:rsid w:val="00F75972"/>
    <w:rsid w:val="00F7656C"/>
    <w:rsid w:val="00F81911"/>
    <w:rsid w:val="00F83CA8"/>
    <w:rsid w:val="00F872E4"/>
    <w:rsid w:val="00F87817"/>
    <w:rsid w:val="00F93B8E"/>
    <w:rsid w:val="00FA121A"/>
    <w:rsid w:val="00FB6767"/>
    <w:rsid w:val="00FC75FD"/>
    <w:rsid w:val="00FD4B4E"/>
    <w:rsid w:val="00FD525E"/>
    <w:rsid w:val="00FE3903"/>
    <w:rsid w:val="00FE40DC"/>
    <w:rsid w:val="00FE7979"/>
    <w:rsid w:val="00FF2F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A0E"/>
    <w:pPr>
      <w:ind w:left="720"/>
      <w:contextualSpacing/>
    </w:pPr>
  </w:style>
  <w:style w:type="paragraph" w:styleId="BalloonText">
    <w:name w:val="Balloon Text"/>
    <w:basedOn w:val="Normal"/>
    <w:link w:val="BalloonTextChar"/>
    <w:uiPriority w:val="99"/>
    <w:semiHidden/>
    <w:unhideWhenUsed/>
    <w:rsid w:val="00ED7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A0E"/>
    <w:rPr>
      <w:rFonts w:ascii="Tahoma" w:hAnsi="Tahoma" w:cs="Tahoma"/>
      <w:sz w:val="16"/>
      <w:szCs w:val="16"/>
    </w:rPr>
  </w:style>
  <w:style w:type="paragraph" w:styleId="Header">
    <w:name w:val="header"/>
    <w:basedOn w:val="Normal"/>
    <w:link w:val="HeaderChar"/>
    <w:uiPriority w:val="99"/>
    <w:unhideWhenUsed/>
    <w:rsid w:val="00ED7A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7A0E"/>
  </w:style>
  <w:style w:type="paragraph" w:styleId="Footer">
    <w:name w:val="footer"/>
    <w:basedOn w:val="Normal"/>
    <w:link w:val="FooterChar"/>
    <w:uiPriority w:val="99"/>
    <w:semiHidden/>
    <w:unhideWhenUsed/>
    <w:rsid w:val="00ED7A0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D7A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891</Words>
  <Characters>5080</Characters>
  <Application>Microsoft Office Word</Application>
  <DocSecurity>0</DocSecurity>
  <Lines>42</Lines>
  <Paragraphs>11</Paragraphs>
  <ScaleCrop>false</ScaleCrop>
  <Company>Home</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dc:creator>
  <cp:keywords/>
  <dc:description/>
  <cp:lastModifiedBy>PCI</cp:lastModifiedBy>
  <cp:revision>3</cp:revision>
  <cp:lastPrinted>2014-02-02T09:03:00Z</cp:lastPrinted>
  <dcterms:created xsi:type="dcterms:W3CDTF">2014-02-02T09:02:00Z</dcterms:created>
  <dcterms:modified xsi:type="dcterms:W3CDTF">2014-02-03T06:24:00Z</dcterms:modified>
</cp:coreProperties>
</file>